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02DD" w:rsidRPr="00E3510C" w:rsidRDefault="00B0182E" w:rsidP="00AE4FB7">
      <w:pPr>
        <w:pStyle w:val="Title"/>
        <w:rPr>
          <w:lang w:val="fr-CA"/>
        </w:rPr>
      </w:pPr>
      <w:r w:rsidRPr="00E3510C">
        <w:rPr>
          <w:lang w:val="fr-CA" w:eastAsia="fr-CA"/>
        </w:rPr>
        <w:drawing>
          <wp:anchor distT="0" distB="0" distL="114300" distR="114300" simplePos="0" relativeHeight="251658240" behindDoc="1" locked="0" layoutInCell="1" allowOverlap="1" wp14:anchorId="234D1415" wp14:editId="5F0826EB">
            <wp:simplePos x="0" y="0"/>
            <wp:positionH relativeFrom="column">
              <wp:posOffset>-173963</wp:posOffset>
            </wp:positionH>
            <wp:positionV relativeFrom="paragraph">
              <wp:posOffset>92597</wp:posOffset>
            </wp:positionV>
            <wp:extent cx="3966336" cy="316800"/>
            <wp:effectExtent l="0" t="0" r="0" b="1270"/>
            <wp:wrapNone/>
            <wp:docPr id="1" name="Picture 1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48949058" name="Dots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66336" cy="316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05470" w:rsidRPr="00E3510C">
        <w:rPr>
          <w:lang w:val="fr-CA"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6C9F58A" wp14:editId="1CDD85C1">
                <wp:simplePos x="0" y="0"/>
                <wp:positionH relativeFrom="column">
                  <wp:posOffset>-73998</wp:posOffset>
                </wp:positionH>
                <wp:positionV relativeFrom="paragraph">
                  <wp:posOffset>-21142</wp:posOffset>
                </wp:positionV>
                <wp:extent cx="3276431" cy="294996"/>
                <wp:effectExtent l="0" t="0" r="635" b="0"/>
                <wp:wrapNone/>
                <wp:docPr id="9" name="Rectangle 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6431" cy="294996"/>
                        </a:xfrm>
                        <a:prstGeom prst="rect">
                          <a:avLst/>
                        </a:prstGeom>
                        <a:solidFill>
                          <a:schemeClr val="accent3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numCol="1" spcCol="0" rtlCol="0" fromWordArt="0" anchor="ctr" anchorCtr="0" forceAA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82FAA3" id="Rectangle 9" o:spid="_x0000_s1026" style="position:absolute;margin-left:-5.85pt;margin-top:-1.65pt;width:258pt;height:23.2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9Sr5yAIAAAUGAAAOAAAAZHJzL2Uyb0RvYy54bWysVFFv2yAQfp+0/4B4Tx07aRJbdaokXfZS&#10;tVHbqc8U49gSBgY0Tjbtv+8A2+26apqmRQo+4O67++6Ou7g8NhwdmDa1FDmOz8YYMUFlUYt9jr88&#10;bEcLjIwloiBcCpbjEzP4cvnxw0WrMpbISvKCaQQgwmStynFlrcqiyNCKNcScScUEXJZSN8TCVu+j&#10;QpMW0BseJePxLGqlLpSWlBkDp1fhEi89flkyam/L0jCLeI4hNutX7dcnt0bLC5LtNVFVTbswyD9E&#10;0ZBagNMB6opYgp51/RtUU1MtjSztGZVNJMuypsxzADbx+A2b+4oo5rlAcowa0mT+Hyy9Oew0qosc&#10;pxgJ0kCJ7iBpROw5Q6mnxI722lhHDqRA6vsmXkyu5tvZaD1NF6PpZD0ZpdPFehTPk8X6PFmtZp+m&#10;P5x1wWgGf6mJrQ+szzCc/B2FrtguOfPoBQejA4GCxq58kY+r//pIo1aZzDNzfeDFe7XToOx2BkTH&#10;5ljqxn2hCOjoO+I0dIRjSuFwksxn00mMEYW7JJ2m6azz2VsrbexnJhvkhBxrSJ7PGjlAKCG8XsU5&#10;M5LXxbbm3G9cl7MN14EOoZQJO+kc/KLJhdMX0lkGUHfieQY6npg9ceb0uLhjJRQVCCQ+GP+c3jqK&#10;w1UFNQr+z8fw6733ofnEekCHXIL/AbsD6DVfk+gr0+k7U+Zf42A8/lNgXVl7C+9ZCjsYN7WQ+j0A&#10;bgfPQb9PUkiNy9KTLE7Q8lqGWWAU3dZQumti7I5oePwwJmCg2VtYSi7bHMtOwqiS+tt7504fGhpu&#10;MWphmOTYfH0mmsGTem420rcqAk9eBHxteS+WWjaPMMNWDgGuiKCAk2Nqdb/Z2DCwYApStlp5NZge&#10;ithrca/gJYVCuDZ7OD4SrbpetNDFN7IfIiR705JBt0tQyEq3gVnjy97NRTfMXu+91sv0Xv4EAAD/&#10;/wMAUEsDBBQABgAIAAAAIQDZGOny3gAAAAkBAAAPAAAAZHJzL2Rvd25yZXYueG1sTI/BTsMwDIbv&#10;SLxDZCRuW9p1G1NpOgESh8EuHd09a0xbaJzSpFt5e8wJbr/lT78/Z9vJduKMg28dKYjnEQikypmW&#10;agXl2/NsA8IHTUZ3jlDBN3rY5tdXmU6Nu1CB50OoBZeQT7WCJoQ+ldJXDVrt565H4t27G6wOPA61&#10;NIO+cLnt5CKK1tLqlvhCo3t8arD6PIxWwW5dFx9mP65ey8eyMHH9hbvji1K3N9PDPYiAU/iD4Vef&#10;1SFnp5MbyXjRKZjF8R2jHJIEBAOraMnhpGCZLEDmmfz/Qf4DAAD//wMAUEsBAi0AFAAGAAgAAAAh&#10;ALaDOJL+AAAA4QEAABMAAAAAAAAAAAAAAAAAAAAAAFtDb250ZW50X1R5cGVzXS54bWxQSwECLQAU&#10;AAYACAAAACEAOP0h/9YAAACUAQAACwAAAAAAAAAAAAAAAAAvAQAAX3JlbHMvLnJlbHNQSwECLQAU&#10;AAYACAAAACEALfUq+cgCAAAFBgAADgAAAAAAAAAAAAAAAAAuAgAAZHJzL2Uyb0RvYy54bWxQSwEC&#10;LQAUAAYACAAAACEA2Rjp8t4AAAAJAQAADwAAAAAAAAAAAAAAAAAiBQAAZHJzL2Rvd25yZXYueG1s&#10;UEsFBgAAAAAEAAQA8wAAAC0GAAAAAA==&#10;" fillcolor="#9a3324 [3206]" stroked="f" strokeweight="1pt"/>
            </w:pict>
          </mc:Fallback>
        </mc:AlternateContent>
      </w:r>
      <w:r w:rsidR="00460ED5" w:rsidRPr="00E3510C">
        <w:rPr>
          <w:lang w:val="fr-CA" w:eastAsia="en-GB"/>
        </w:rPr>
        <w:t>Liste de contrôle</w:t>
      </w:r>
    </w:p>
    <w:p w:rsidR="002802DD" w:rsidRPr="00E3510C" w:rsidRDefault="000F0E52" w:rsidP="00AF2D83">
      <w:pPr>
        <w:pStyle w:val="Heading1"/>
        <w:rPr>
          <w:lang w:val="fr-CA"/>
        </w:rPr>
      </w:pPr>
      <w:r w:rsidRPr="00E3510C">
        <w:rPr>
          <w:lang w:val="fr-CA"/>
        </w:rPr>
        <w:t>Déroulement d</w:t>
      </w:r>
      <w:r w:rsidR="00E3510C" w:rsidRPr="00E3510C">
        <w:rPr>
          <w:lang w:val="fr-CA"/>
        </w:rPr>
        <w:t>’</w:t>
      </w:r>
      <w:r w:rsidRPr="00E3510C">
        <w:rPr>
          <w:lang w:val="fr-CA"/>
        </w:rPr>
        <w:t>une réunion d</w:t>
      </w:r>
      <w:r w:rsidR="00E3510C" w:rsidRPr="00E3510C">
        <w:rPr>
          <w:lang w:val="fr-CA"/>
        </w:rPr>
        <w:t>’</w:t>
      </w:r>
      <w:r w:rsidRPr="00E3510C">
        <w:rPr>
          <w:lang w:val="fr-CA"/>
        </w:rPr>
        <w:t>un comité de compétence</w:t>
      </w:r>
    </w:p>
    <w:p w:rsidR="00A10F1C" w:rsidRPr="00E3510C" w:rsidRDefault="00B0182E" w:rsidP="00D976BC">
      <w:pPr>
        <w:pStyle w:val="Heading2"/>
        <w:rPr>
          <w:szCs w:val="24"/>
          <w:lang w:val="fr-CA"/>
        </w:rPr>
      </w:pPr>
      <w:r w:rsidRPr="00E3510C">
        <w:rPr>
          <w:noProof/>
          <w:lang w:val="fr-CA" w:eastAsia="fr-CA"/>
        </w:rPr>
        <mc:AlternateContent>
          <mc:Choice Requires="wps">
            <w:drawing>
              <wp:inline distT="0" distB="0" distL="0" distR="0" wp14:anchorId="7960EFB0" wp14:editId="16D82415">
                <wp:extent cx="5934710" cy="0"/>
                <wp:effectExtent l="0" t="0" r="0" b="0"/>
                <wp:docPr id="11" name="Straight Connector 11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34710" cy="0"/>
                        </a:xfrm>
                        <a:prstGeom prst="line">
                          <a:avLst/>
                        </a:prstGeom>
                        <a:ln>
                          <a:solidFill>
                            <a:srgbClr val="00A3A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>
            <w:pict>
              <v:line w14:anchorId="37741FDD" id="Straight Connector 11" o:spid="_x0000_s1026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67.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wY0vLQIAAMUEAAAOAAAAZHJzL2Uyb0RvYy54bWysVNmO0zAUfUfiHyy/t0naTptGTUddKC8I&#10;KgY+wHXsxpKXyDZdhPh3rp1lRoAQIB7qeLnn3nPu0tXjTUl0YdYJo0ucjVOMmKamEvpc4s+fDqMc&#10;I+eJrog0mpX4zhx+XL9+tbo2BZuY2siKWQROtCuuTYlr75siSRytmSJubBqm4ZEbq4iHoz0nlSVX&#10;8K5kMknTeXI1tmqsocw5uN23j3gd/XPOqP/AuWMeyRIDNx9XG9dTWJP1ihRnS5pa0I4G+QcWiggN&#10;QQdXe+IJ+mLFT66UoNY4w/2YGpUYzgVlUQOoydIf1DzVpGFRCyTHNUOa3P9zS99fjhaJCmqXYaSJ&#10;gho9eUvEufZoZ7SGDBqL4DGoYzf/zvlu1+r7usvy6X5xmI+2s2U+mk2309Fylm9H2WKSbx8mm838&#10;zexbQFeMFvAzlnhxYX2y4ebP1HR1D3laJM9+MLoQqG0WKplEhv03Mk2ujSuiyNAScbvTRwvG4eSa&#10;ow1qbtyq8IV6oFtsjvvQHKAZUbh8WE5niwx6iPZvEK4HNtb5t8woFDYllkKHupGCXIBFy6w3CddS&#10;h9UZKaqDkDIe7Pm0k7ZVk6ab6WbfSXphBhEDNIpquUcV/i5Z6/Yj41BMYNvWK44RG9wSSpn2faqk&#10;BusA40BhAKaR92+BnX2AsjhifwMeEDGy0X4AK6GN/VV0f+sp89a+z0CrO6TgZKp7rGpMDcxKbIJu&#10;rsMwvjxH+PO/z/o7AAAA//8DAFBLAwQUAAYACAAAACEAzbGNpdsAAAACAQAADwAAAGRycy9kb3du&#10;cmV2LnhtbEyPQUvDQBCF74L/YRnBi7SbWKkasykqRKSgYFvQ4zQ7JqnZ2bC7TeO/d+tFLw8eb3jv&#10;m3wxmk4M5HxrWUE6TUAQV1a3XCvYrMvJDQgfkDV2lknBN3lYFKcnOWbaHviNhlWoRSxhn6GCJoQ+&#10;k9JXDRn0U9sTx+zTOoMhWldL7fAQy00nL5NkLg22HBca7OmxoeprtTcKHoa0KndPu4/nF9zM3HX5&#10;mi7fL5Q6Pxvv70AEGsPfMRzxIzoUkWlr96y96BTER8Kvxux2djUHsT1aWeTyP3rxAwAA//8DAFBL&#10;AQItABQABgAIAAAAIQC2gziS/gAAAOEBAAATAAAAAAAAAAAAAAAAAAAAAABbQ29udGVudF9UeXBl&#10;c10ueG1sUEsBAi0AFAAGAAgAAAAhADj9If/WAAAAlAEAAAsAAAAAAAAAAAAAAAAALwEAAF9yZWxz&#10;Ly5yZWxzUEsBAi0AFAAGAAgAAAAhALzBjS8tAgAAxQQAAA4AAAAAAAAAAAAAAAAALgIAAGRycy9l&#10;Mm9Eb2MueG1sUEsBAi0AFAAGAAgAAAAhAM2xjaXbAAAAAgEAAA8AAAAAAAAAAAAAAAAAhwQAAGRy&#10;cy9kb3ducmV2LnhtbFBLBQYAAAAABAAEAPMAAACPBQAAAAA=&#10;" strokecolor="#00a3ad" strokeweight=".5pt">
                <v:stroke joinstyle="miter"/>
                <w10:anchorlock/>
              </v:line>
            </w:pict>
          </mc:Fallback>
        </mc:AlternateConten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30"/>
        <w:gridCol w:w="1420"/>
      </w:tblGrid>
      <w:tr w:rsidR="00965183" w:rsidRPr="00E3510C" w:rsidTr="0033159A">
        <w:tc>
          <w:tcPr>
            <w:tcW w:w="7930" w:type="dxa"/>
          </w:tcPr>
          <w:p w:rsidR="001675B9" w:rsidRPr="00E3510C" w:rsidRDefault="00511623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b/>
                <w:bCs/>
                <w:lang w:val="fr-CA"/>
              </w:rPr>
              <w:t>Élément</w:t>
            </w:r>
          </w:p>
        </w:tc>
        <w:tc>
          <w:tcPr>
            <w:tcW w:w="1420" w:type="dxa"/>
            <w:vAlign w:val="center"/>
          </w:tcPr>
          <w:p w:rsidR="001675B9" w:rsidRPr="00E3510C" w:rsidRDefault="00511623" w:rsidP="0033159A">
            <w:pPr>
              <w:jc w:val="center"/>
              <w:rPr>
                <w:b/>
                <w:bCs/>
                <w:lang w:val="fr-CA"/>
              </w:rPr>
            </w:pPr>
            <w:bookmarkStart w:id="0" w:name="lt_pId006"/>
            <w:r w:rsidRPr="00E3510C">
              <w:rPr>
                <w:b/>
                <w:bCs/>
                <w:lang w:val="fr-CA"/>
              </w:rPr>
              <w:t>Fait</w:t>
            </w:r>
            <w:r w:rsidR="00B0182E" w:rsidRPr="00E3510C">
              <w:rPr>
                <w:b/>
                <w:bCs/>
                <w:lang w:val="fr-CA"/>
              </w:rPr>
              <w:t>?</w:t>
            </w:r>
            <w:bookmarkEnd w:id="0"/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460ED5" w:rsidP="0033159A">
            <w:pPr>
              <w:rPr>
                <w:b/>
                <w:bCs/>
                <w:lang w:val="fr-CA"/>
              </w:rPr>
            </w:pPr>
            <w:r w:rsidRPr="00E3510C">
              <w:rPr>
                <w:b/>
                <w:bCs/>
                <w:lang w:val="fr-CA"/>
              </w:rPr>
              <w:t>Pour commencer</w:t>
            </w:r>
          </w:p>
        </w:tc>
        <w:tc>
          <w:tcPr>
            <w:tcW w:w="1420" w:type="dxa"/>
            <w:vAlign w:val="center"/>
          </w:tcPr>
          <w:p w:rsidR="001675B9" w:rsidRPr="00E3510C" w:rsidRDefault="001675B9" w:rsidP="0033159A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3635E3" w:rsidP="0033159A">
            <w:pPr>
              <w:rPr>
                <w:lang w:val="fr-CA"/>
              </w:rPr>
            </w:pPr>
            <w:r w:rsidRPr="00E3510C">
              <w:rPr>
                <w:lang w:val="fr-CA"/>
              </w:rPr>
              <w:t>Formuler</w:t>
            </w:r>
            <w:r w:rsidR="00460ED5" w:rsidRPr="00E3510C">
              <w:rPr>
                <w:lang w:val="fr-CA"/>
              </w:rPr>
              <w:t xml:space="preserve"> un énoncé de mission</w:t>
            </w:r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460ED5" w:rsidP="00460ED5">
            <w:pPr>
              <w:rPr>
                <w:lang w:val="fr-CA"/>
              </w:rPr>
            </w:pPr>
            <w:bookmarkStart w:id="1" w:name="lt_pId010"/>
            <w:r w:rsidRPr="00E3510C">
              <w:rPr>
                <w:lang w:val="fr-CA"/>
              </w:rPr>
              <w:t>Définir le mandat du comité de compétence et de ses membres</w:t>
            </w:r>
            <w:r w:rsidR="00B0182E" w:rsidRPr="00E3510C">
              <w:rPr>
                <w:lang w:val="fr-CA"/>
              </w:rPr>
              <w:t xml:space="preserve"> </w:t>
            </w:r>
            <w:bookmarkEnd w:id="1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460ED5" w:rsidP="003635E3">
            <w:pPr>
              <w:rPr>
                <w:lang w:val="fr-CA"/>
              </w:rPr>
            </w:pPr>
            <w:bookmarkStart w:id="2" w:name="lt_pId012"/>
            <w:r w:rsidRPr="00E3510C">
              <w:rPr>
                <w:lang w:val="fr-CA"/>
              </w:rPr>
              <w:t>Jumeler</w:t>
            </w:r>
            <w:r w:rsidR="003635E3" w:rsidRPr="00E3510C">
              <w:rPr>
                <w:lang w:val="fr-CA"/>
              </w:rPr>
              <w:t xml:space="preserve"> chaque résident à un évaluateur</w:t>
            </w:r>
            <w:r w:rsidRPr="00E3510C">
              <w:rPr>
                <w:lang w:val="fr-CA"/>
              </w:rPr>
              <w:t xml:space="preserve"> principal </w:t>
            </w:r>
            <w:bookmarkEnd w:id="2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460ED5" w:rsidP="00E61A58">
            <w:pPr>
              <w:rPr>
                <w:lang w:val="fr-CA"/>
              </w:rPr>
            </w:pPr>
            <w:bookmarkStart w:id="3" w:name="lt_pId014"/>
            <w:r w:rsidRPr="00E3510C">
              <w:rPr>
                <w:lang w:val="fr-CA"/>
              </w:rPr>
              <w:t>Élaborer une carte d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 xml:space="preserve">évaluation </w:t>
            </w:r>
            <w:r w:rsidR="00E61A58" w:rsidRPr="00E3510C">
              <w:rPr>
                <w:lang w:val="fr-CA"/>
              </w:rPr>
              <w:t xml:space="preserve">pour </w:t>
            </w:r>
            <w:r w:rsidR="0041510E" w:rsidRPr="00E3510C">
              <w:rPr>
                <w:lang w:val="fr-CA"/>
              </w:rPr>
              <w:t>h</w:t>
            </w:r>
            <w:r w:rsidR="00025C07" w:rsidRPr="00E3510C">
              <w:rPr>
                <w:lang w:val="fr-CA"/>
              </w:rPr>
              <w:t xml:space="preserve">armoniser les réunions du comité de compétence </w:t>
            </w:r>
            <w:bookmarkEnd w:id="3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025C07" w:rsidP="00025C07">
            <w:pPr>
              <w:rPr>
                <w:lang w:val="fr-CA"/>
              </w:rPr>
            </w:pPr>
            <w:bookmarkStart w:id="4" w:name="lt_pId016"/>
            <w:r w:rsidRPr="00E3510C">
              <w:rPr>
                <w:lang w:val="fr-CA"/>
              </w:rPr>
              <w:t>Déterminer la meilleure méthode à adopter pour</w:t>
            </w:r>
            <w:r w:rsidR="00B0182E" w:rsidRPr="00E3510C">
              <w:rPr>
                <w:lang w:val="fr-CA"/>
              </w:rPr>
              <w:t xml:space="preserve"> </w:t>
            </w:r>
            <w:r w:rsidRPr="00E3510C">
              <w:rPr>
                <w:lang w:val="fr-CA"/>
              </w:rPr>
              <w:t>rassembler et examiner les données</w:t>
            </w:r>
            <w:bookmarkEnd w:id="4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9350" w:type="dxa"/>
            <w:gridSpan w:val="2"/>
          </w:tcPr>
          <w:p w:rsidR="001675B9" w:rsidRPr="00E3510C" w:rsidRDefault="001675B9" w:rsidP="0033159A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3635E3" w:rsidP="0033159A">
            <w:pPr>
              <w:rPr>
                <w:b/>
                <w:bCs/>
                <w:lang w:val="fr-CA"/>
              </w:rPr>
            </w:pPr>
            <w:bookmarkStart w:id="5" w:name="lt_pId018"/>
            <w:r w:rsidRPr="00E3510C">
              <w:rPr>
                <w:b/>
                <w:bCs/>
                <w:lang w:val="fr-CA"/>
              </w:rPr>
              <w:t>Processus de</w:t>
            </w:r>
            <w:r w:rsidR="0093023E" w:rsidRPr="00E3510C">
              <w:rPr>
                <w:b/>
                <w:bCs/>
                <w:lang w:val="fr-CA"/>
              </w:rPr>
              <w:t xml:space="preserve"> </w:t>
            </w:r>
            <w:r w:rsidR="00025C07" w:rsidRPr="00E3510C">
              <w:rPr>
                <w:b/>
                <w:bCs/>
                <w:lang w:val="fr-CA"/>
              </w:rPr>
              <w:t>réunion</w:t>
            </w:r>
            <w:bookmarkEnd w:id="5"/>
          </w:p>
        </w:tc>
        <w:tc>
          <w:tcPr>
            <w:tcW w:w="1420" w:type="dxa"/>
            <w:vAlign w:val="center"/>
          </w:tcPr>
          <w:p w:rsidR="001675B9" w:rsidRPr="00E3510C" w:rsidRDefault="001675B9" w:rsidP="0033159A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3E0E18" w:rsidP="0033159A">
            <w:pPr>
              <w:rPr>
                <w:lang w:val="fr-CA"/>
              </w:rPr>
            </w:pPr>
            <w:bookmarkStart w:id="6" w:name="lt_pId019"/>
            <w:r w:rsidRPr="00E3510C">
              <w:rPr>
                <w:lang w:val="fr-CA"/>
              </w:rPr>
              <w:t>Déterminer les règles d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>engagement</w:t>
            </w:r>
            <w:bookmarkEnd w:id="6"/>
            <w:r w:rsidR="00B0182E" w:rsidRPr="00E3510C">
              <w:rPr>
                <w:lang w:val="fr-CA"/>
              </w:rPr>
              <w:t xml:space="preserve"> </w:t>
            </w:r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9C45AF" w:rsidP="0033159A">
            <w:pPr>
              <w:rPr>
                <w:lang w:val="fr-CA"/>
              </w:rPr>
            </w:pPr>
            <w:bookmarkStart w:id="7" w:name="lt_pId021"/>
            <w:r w:rsidRPr="00E3510C">
              <w:rPr>
                <w:lang w:val="fr-CA"/>
              </w:rPr>
              <w:t>Établir l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>ordre du jour bien à l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>avance</w:t>
            </w:r>
            <w:bookmarkEnd w:id="7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9B20CD" w:rsidP="0033159A">
            <w:pPr>
              <w:rPr>
                <w:lang w:val="fr-CA"/>
              </w:rPr>
            </w:pPr>
            <w:bookmarkStart w:id="8" w:name="lt_pId023"/>
            <w:r w:rsidRPr="00E3510C">
              <w:rPr>
                <w:lang w:val="fr-CA"/>
              </w:rPr>
              <w:t>Déterminer comment vous allez vous acquitter de vos tâches et respecter les délais</w:t>
            </w:r>
            <w:bookmarkEnd w:id="8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DB1AF9" w:rsidP="0033159A">
            <w:pPr>
              <w:rPr>
                <w:lang w:val="fr-CA"/>
              </w:rPr>
            </w:pPr>
            <w:bookmarkStart w:id="9" w:name="lt_pId025"/>
            <w:r w:rsidRPr="00E3510C">
              <w:rPr>
                <w:lang w:val="fr-CA"/>
              </w:rPr>
              <w:t>Établir le processus décisionnel et le procès-verbal</w:t>
            </w:r>
            <w:bookmarkEnd w:id="9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B0182E" w:rsidP="00535DC4">
            <w:pPr>
              <w:rPr>
                <w:lang w:val="fr-CA"/>
              </w:rPr>
            </w:pPr>
            <w:bookmarkStart w:id="10" w:name="lt_pId027"/>
            <w:r w:rsidRPr="00E3510C">
              <w:rPr>
                <w:lang w:val="fr-CA"/>
              </w:rPr>
              <w:t>D</w:t>
            </w:r>
            <w:r w:rsidR="00535DC4" w:rsidRPr="00E3510C">
              <w:rPr>
                <w:lang w:val="fr-CA"/>
              </w:rPr>
              <w:t>é</w:t>
            </w:r>
            <w:r w:rsidRPr="00E3510C">
              <w:rPr>
                <w:lang w:val="fr-CA"/>
              </w:rPr>
              <w:t>termine</w:t>
            </w:r>
            <w:r w:rsidR="00535DC4" w:rsidRPr="00E3510C">
              <w:rPr>
                <w:lang w:val="fr-CA"/>
              </w:rPr>
              <w:t>r le</w:t>
            </w:r>
            <w:r w:rsidRPr="00E3510C">
              <w:rPr>
                <w:lang w:val="fr-CA"/>
              </w:rPr>
              <w:t xml:space="preserve"> r</w:t>
            </w:r>
            <w:r w:rsidR="00535DC4" w:rsidRPr="00E3510C">
              <w:rPr>
                <w:lang w:val="fr-CA"/>
              </w:rPr>
              <w:t>ô</w:t>
            </w:r>
            <w:r w:rsidRPr="00E3510C">
              <w:rPr>
                <w:lang w:val="fr-CA"/>
              </w:rPr>
              <w:t xml:space="preserve">le </w:t>
            </w:r>
            <w:r w:rsidR="00535DC4" w:rsidRPr="00E3510C">
              <w:rPr>
                <w:lang w:val="fr-CA"/>
              </w:rPr>
              <w:t>du perfectionnement du corps professoral/de l</w:t>
            </w:r>
            <w:r w:rsidR="00E3510C" w:rsidRPr="00E3510C">
              <w:rPr>
                <w:lang w:val="fr-CA"/>
              </w:rPr>
              <w:t>’</w:t>
            </w:r>
            <w:r w:rsidR="00535DC4" w:rsidRPr="00E3510C">
              <w:rPr>
                <w:lang w:val="fr-CA"/>
              </w:rPr>
              <w:t xml:space="preserve">évaluation de programme </w:t>
            </w:r>
            <w:bookmarkEnd w:id="10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9350" w:type="dxa"/>
            <w:gridSpan w:val="2"/>
          </w:tcPr>
          <w:p w:rsidR="001675B9" w:rsidRPr="00E3510C" w:rsidRDefault="001675B9" w:rsidP="0033159A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93023E" w:rsidP="0033159A">
            <w:pPr>
              <w:rPr>
                <w:b/>
                <w:bCs/>
                <w:lang w:val="fr-CA"/>
              </w:rPr>
            </w:pPr>
            <w:bookmarkStart w:id="11" w:name="lt_pId029"/>
            <w:r w:rsidRPr="00E3510C">
              <w:rPr>
                <w:b/>
                <w:bCs/>
                <w:lang w:val="fr-CA"/>
              </w:rPr>
              <w:t>Après la réunion</w:t>
            </w:r>
            <w:bookmarkEnd w:id="11"/>
          </w:p>
        </w:tc>
        <w:tc>
          <w:tcPr>
            <w:tcW w:w="1420" w:type="dxa"/>
            <w:vAlign w:val="center"/>
          </w:tcPr>
          <w:p w:rsidR="001675B9" w:rsidRPr="00E3510C" w:rsidRDefault="001675B9" w:rsidP="0033159A">
            <w:pPr>
              <w:jc w:val="center"/>
              <w:rPr>
                <w:b/>
                <w:bCs/>
                <w:lang w:val="fr-CA"/>
              </w:rPr>
            </w:pP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B0182E" w:rsidP="00A81CA1">
            <w:pPr>
              <w:rPr>
                <w:lang w:val="fr-CA"/>
              </w:rPr>
            </w:pPr>
            <w:bookmarkStart w:id="12" w:name="lt_pId030"/>
            <w:r w:rsidRPr="00E3510C">
              <w:rPr>
                <w:lang w:val="fr-CA"/>
              </w:rPr>
              <w:t>D</w:t>
            </w:r>
            <w:r w:rsidR="00535DC4" w:rsidRPr="00E3510C">
              <w:rPr>
                <w:lang w:val="fr-CA"/>
              </w:rPr>
              <w:t>é</w:t>
            </w:r>
            <w:r w:rsidRPr="00E3510C">
              <w:rPr>
                <w:lang w:val="fr-CA"/>
              </w:rPr>
              <w:t>termine</w:t>
            </w:r>
            <w:r w:rsidR="00535DC4" w:rsidRPr="00E3510C">
              <w:rPr>
                <w:lang w:val="fr-CA"/>
              </w:rPr>
              <w:t>r</w:t>
            </w:r>
            <w:r w:rsidRPr="00E3510C">
              <w:rPr>
                <w:lang w:val="fr-CA"/>
              </w:rPr>
              <w:t xml:space="preserve"> </w:t>
            </w:r>
            <w:r w:rsidR="00535DC4" w:rsidRPr="00E3510C">
              <w:rPr>
                <w:i/>
                <w:iCs/>
                <w:lang w:val="fr-CA"/>
              </w:rPr>
              <w:t>quelles</w:t>
            </w:r>
            <w:r w:rsidRPr="00E3510C">
              <w:rPr>
                <w:i/>
                <w:iCs/>
                <w:lang w:val="fr-CA"/>
              </w:rPr>
              <w:t xml:space="preserve"> d</w:t>
            </w:r>
            <w:r w:rsidR="00535DC4" w:rsidRPr="00E3510C">
              <w:rPr>
                <w:i/>
                <w:iCs/>
                <w:lang w:val="fr-CA"/>
              </w:rPr>
              <w:t>é</w:t>
            </w:r>
            <w:r w:rsidRPr="00E3510C">
              <w:rPr>
                <w:i/>
                <w:iCs/>
                <w:lang w:val="fr-CA"/>
              </w:rPr>
              <w:t>cisions</w:t>
            </w:r>
            <w:r w:rsidRPr="00E3510C">
              <w:rPr>
                <w:lang w:val="fr-CA"/>
              </w:rPr>
              <w:t xml:space="preserve"> </w:t>
            </w:r>
            <w:proofErr w:type="gramStart"/>
            <w:r w:rsidR="00535DC4" w:rsidRPr="00E3510C">
              <w:rPr>
                <w:lang w:val="fr-CA"/>
              </w:rPr>
              <w:t>doivent</w:t>
            </w:r>
            <w:proofErr w:type="gramEnd"/>
            <w:r w:rsidR="00535DC4" w:rsidRPr="00E3510C">
              <w:rPr>
                <w:lang w:val="fr-CA"/>
              </w:rPr>
              <w:t xml:space="preserve"> être communiquées et</w:t>
            </w:r>
            <w:r w:rsidRPr="00E3510C">
              <w:rPr>
                <w:lang w:val="fr-CA"/>
              </w:rPr>
              <w:t xml:space="preserve"> </w:t>
            </w:r>
            <w:r w:rsidR="00535DC4" w:rsidRPr="00E3510C">
              <w:rPr>
                <w:i/>
                <w:iCs/>
                <w:lang w:val="fr-CA"/>
              </w:rPr>
              <w:t>qui</w:t>
            </w:r>
            <w:r w:rsidRPr="00E3510C">
              <w:rPr>
                <w:lang w:val="fr-CA"/>
              </w:rPr>
              <w:t xml:space="preserve"> </w:t>
            </w:r>
            <w:r w:rsidR="00535DC4" w:rsidRPr="00E3510C">
              <w:rPr>
                <w:lang w:val="fr-CA"/>
              </w:rPr>
              <w:t>se</w:t>
            </w:r>
            <w:r w:rsidR="000F7869" w:rsidRPr="00E3510C">
              <w:rPr>
                <w:lang w:val="fr-CA"/>
              </w:rPr>
              <w:t>ra chargé de les transmettre au</w:t>
            </w:r>
            <w:r w:rsidR="00535DC4" w:rsidRPr="00E3510C">
              <w:rPr>
                <w:lang w:val="fr-CA"/>
              </w:rPr>
              <w:t xml:space="preserve"> </w:t>
            </w:r>
            <w:bookmarkEnd w:id="12"/>
            <w:r w:rsidR="000F7869" w:rsidRPr="00E3510C">
              <w:rPr>
                <w:color w:val="000000"/>
                <w:lang w:val="fr-CA"/>
              </w:rPr>
              <w:t>bureau</w:t>
            </w:r>
            <w:r w:rsidR="00A81CA1" w:rsidRPr="00E3510C">
              <w:rPr>
                <w:color w:val="000000"/>
                <w:lang w:val="fr-CA"/>
              </w:rPr>
              <w:t xml:space="preserve"> des études médicales postdoctorales</w:t>
            </w:r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B0182E" w:rsidP="00A81CA1">
            <w:pPr>
              <w:rPr>
                <w:lang w:val="fr-CA"/>
              </w:rPr>
            </w:pPr>
            <w:bookmarkStart w:id="13" w:name="lt_pId032"/>
            <w:r w:rsidRPr="00E3510C">
              <w:rPr>
                <w:lang w:val="fr-CA"/>
              </w:rPr>
              <w:t>D</w:t>
            </w:r>
            <w:r w:rsidR="00A81CA1" w:rsidRPr="00E3510C">
              <w:rPr>
                <w:lang w:val="fr-CA"/>
              </w:rPr>
              <w:t>étermin</w:t>
            </w:r>
            <w:r w:rsidRPr="00E3510C">
              <w:rPr>
                <w:lang w:val="fr-CA"/>
              </w:rPr>
              <w:t>e</w:t>
            </w:r>
            <w:r w:rsidR="00A81CA1" w:rsidRPr="00E3510C">
              <w:rPr>
                <w:lang w:val="fr-CA"/>
              </w:rPr>
              <w:t>r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i/>
                <w:iCs/>
                <w:lang w:val="fr-CA"/>
              </w:rPr>
              <w:t>quels renseignements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lang w:val="fr-CA"/>
              </w:rPr>
              <w:t>devraient être communiqués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lang w:val="fr-CA"/>
              </w:rPr>
              <w:t>au Comité du programme de résidence pour chaque résident</w:t>
            </w:r>
            <w:r w:rsidRPr="00E3510C">
              <w:rPr>
                <w:lang w:val="fr-CA"/>
              </w:rPr>
              <w:t xml:space="preserve"> </w:t>
            </w:r>
            <w:bookmarkEnd w:id="13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B0182E" w:rsidP="00A81CA1">
            <w:pPr>
              <w:rPr>
                <w:lang w:val="fr-CA"/>
              </w:rPr>
            </w:pPr>
            <w:bookmarkStart w:id="14" w:name="lt_pId034"/>
            <w:r w:rsidRPr="00E3510C">
              <w:rPr>
                <w:lang w:val="fr-CA"/>
              </w:rPr>
              <w:t>D</w:t>
            </w:r>
            <w:r w:rsidR="00A81CA1" w:rsidRPr="00E3510C">
              <w:rPr>
                <w:lang w:val="fr-CA"/>
              </w:rPr>
              <w:t>é</w:t>
            </w:r>
            <w:r w:rsidRPr="00E3510C">
              <w:rPr>
                <w:lang w:val="fr-CA"/>
              </w:rPr>
              <w:t>termine</w:t>
            </w:r>
            <w:r w:rsidR="00A81CA1" w:rsidRPr="00E3510C">
              <w:rPr>
                <w:lang w:val="fr-CA"/>
              </w:rPr>
              <w:t>r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i/>
                <w:iCs/>
                <w:lang w:val="fr-CA"/>
              </w:rPr>
              <w:t>qui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lang w:val="fr-CA"/>
              </w:rPr>
              <w:t>communiquera les dé</w:t>
            </w:r>
            <w:r w:rsidRPr="00E3510C">
              <w:rPr>
                <w:lang w:val="fr-CA"/>
              </w:rPr>
              <w:t xml:space="preserve">cisions </w:t>
            </w:r>
            <w:r w:rsidR="00A81CA1" w:rsidRPr="00E3510C">
              <w:rPr>
                <w:lang w:val="fr-CA"/>
              </w:rPr>
              <w:t>au résident et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i/>
                <w:iCs/>
                <w:lang w:val="fr-CA"/>
              </w:rPr>
              <w:t>de quelle façon</w:t>
            </w:r>
            <w:r w:rsidR="00A81CA1" w:rsidRPr="00E3510C">
              <w:rPr>
                <w:iCs/>
                <w:lang w:val="fr-CA"/>
              </w:rPr>
              <w:t xml:space="preserve"> </w:t>
            </w:r>
            <w:r w:rsidR="00A81CA1" w:rsidRPr="00E3510C">
              <w:rPr>
                <w:lang w:val="fr-CA"/>
              </w:rPr>
              <w:t xml:space="preserve">(p. ex., courriel, rencontre en personne) </w:t>
            </w:r>
            <w:bookmarkEnd w:id="14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B0182E" w:rsidP="00A81CA1">
            <w:pPr>
              <w:rPr>
                <w:lang w:val="fr-CA"/>
              </w:rPr>
            </w:pPr>
            <w:bookmarkStart w:id="15" w:name="lt_pId036"/>
            <w:r w:rsidRPr="00E3510C">
              <w:rPr>
                <w:lang w:val="fr-CA"/>
              </w:rPr>
              <w:t>D</w:t>
            </w:r>
            <w:r w:rsidR="00A81CA1" w:rsidRPr="00E3510C">
              <w:rPr>
                <w:lang w:val="fr-CA"/>
              </w:rPr>
              <w:t>é</w:t>
            </w:r>
            <w:r w:rsidRPr="00E3510C">
              <w:rPr>
                <w:lang w:val="fr-CA"/>
              </w:rPr>
              <w:t>termine</w:t>
            </w:r>
            <w:r w:rsidR="00A81CA1" w:rsidRPr="00E3510C">
              <w:rPr>
                <w:lang w:val="fr-CA"/>
              </w:rPr>
              <w:t>r</w:t>
            </w:r>
            <w:r w:rsidRPr="00E3510C">
              <w:rPr>
                <w:lang w:val="fr-CA"/>
              </w:rPr>
              <w:t xml:space="preserve"> </w:t>
            </w:r>
            <w:r w:rsidR="00A81CA1" w:rsidRPr="00E3510C">
              <w:rPr>
                <w:i/>
                <w:iCs/>
                <w:lang w:val="fr-CA"/>
              </w:rPr>
              <w:t xml:space="preserve">où </w:t>
            </w:r>
            <w:r w:rsidR="00A81CA1" w:rsidRPr="00E3510C">
              <w:rPr>
                <w:lang w:val="fr-CA"/>
              </w:rPr>
              <w:t>le procès-verbal</w:t>
            </w:r>
            <w:r w:rsidRPr="00E3510C">
              <w:rPr>
                <w:lang w:val="fr-CA"/>
              </w:rPr>
              <w:t>/r</w:t>
            </w:r>
            <w:r w:rsidR="00A81CA1" w:rsidRPr="00E3510C">
              <w:rPr>
                <w:lang w:val="fr-CA"/>
              </w:rPr>
              <w:t>ap</w:t>
            </w:r>
            <w:r w:rsidRPr="00E3510C">
              <w:rPr>
                <w:lang w:val="fr-CA"/>
              </w:rPr>
              <w:t xml:space="preserve">ports </w:t>
            </w:r>
            <w:r w:rsidR="00A81CA1" w:rsidRPr="00E3510C">
              <w:rPr>
                <w:lang w:val="fr-CA"/>
              </w:rPr>
              <w:t xml:space="preserve">de la réunion seront conservés et </w:t>
            </w:r>
            <w:r w:rsidR="00A81CA1" w:rsidRPr="00E3510C">
              <w:rPr>
                <w:i/>
                <w:iCs/>
                <w:lang w:val="fr-CA"/>
              </w:rPr>
              <w:t>qui</w:t>
            </w:r>
            <w:r w:rsidRPr="00E3510C">
              <w:rPr>
                <w:lang w:val="fr-CA"/>
              </w:rPr>
              <w:t xml:space="preserve"> </w:t>
            </w:r>
            <w:bookmarkEnd w:id="15"/>
            <w:r w:rsidR="00A81CA1" w:rsidRPr="00E3510C">
              <w:rPr>
                <w:lang w:val="fr-CA"/>
              </w:rPr>
              <w:t>y aura accès</w:t>
            </w:r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  <w:tr w:rsidR="00965183" w:rsidRPr="00E3510C" w:rsidTr="0033159A">
        <w:tc>
          <w:tcPr>
            <w:tcW w:w="7930" w:type="dxa"/>
          </w:tcPr>
          <w:p w:rsidR="001675B9" w:rsidRPr="00E3510C" w:rsidRDefault="00CB643E" w:rsidP="0033159A">
            <w:pPr>
              <w:rPr>
                <w:lang w:val="fr-CA"/>
              </w:rPr>
            </w:pPr>
            <w:bookmarkStart w:id="16" w:name="lt_pId038"/>
            <w:r w:rsidRPr="00E3510C">
              <w:rPr>
                <w:lang w:val="fr-CA"/>
              </w:rPr>
              <w:t xml:space="preserve">Déterminer </w:t>
            </w:r>
            <w:r w:rsidRPr="00E3510C">
              <w:rPr>
                <w:i/>
                <w:lang w:val="fr-CA"/>
              </w:rPr>
              <w:t>qui</w:t>
            </w:r>
            <w:r w:rsidRPr="00E3510C">
              <w:rPr>
                <w:lang w:val="fr-CA"/>
              </w:rPr>
              <w:t xml:space="preserve"> est responsable d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>élaborer les plans d</w:t>
            </w:r>
            <w:r w:rsidR="00E3510C" w:rsidRPr="00E3510C">
              <w:rPr>
                <w:lang w:val="fr-CA"/>
              </w:rPr>
              <w:t>’</w:t>
            </w:r>
            <w:r w:rsidRPr="00E3510C">
              <w:rPr>
                <w:lang w:val="fr-CA"/>
              </w:rPr>
              <w:t xml:space="preserve">apprentissage individuels </w:t>
            </w:r>
            <w:bookmarkEnd w:id="16"/>
          </w:p>
        </w:tc>
        <w:tc>
          <w:tcPr>
            <w:tcW w:w="1420" w:type="dxa"/>
            <w:vAlign w:val="center"/>
          </w:tcPr>
          <w:p w:rsidR="001675B9" w:rsidRPr="00E3510C" w:rsidRDefault="00B0182E" w:rsidP="0033159A">
            <w:pPr>
              <w:jc w:val="center"/>
              <w:rPr>
                <w:b/>
                <w:bCs/>
                <w:lang w:val="fr-CA"/>
              </w:rPr>
            </w:pPr>
            <w:r w:rsidRPr="00E3510C">
              <w:rPr>
                <w:rFonts w:ascii="Symbol" w:hAnsi="Symbol"/>
                <w:b/>
                <w:bCs/>
                <w:lang w:val="fr-CA"/>
              </w:rPr>
              <w:sym w:font="Symbol" w:char="F0FF"/>
            </w:r>
          </w:p>
        </w:tc>
      </w:tr>
    </w:tbl>
    <w:p w:rsidR="001675B9" w:rsidRPr="00E3510C" w:rsidRDefault="001675B9" w:rsidP="009D68C7">
      <w:pPr>
        <w:rPr>
          <w:lang w:val="fr-CA"/>
        </w:rPr>
      </w:pPr>
    </w:p>
    <w:p w:rsidR="001675B9" w:rsidRPr="00E3510C" w:rsidRDefault="001675B9" w:rsidP="009D68C7">
      <w:pPr>
        <w:rPr>
          <w:lang w:val="fr-CA"/>
        </w:rPr>
      </w:pPr>
    </w:p>
    <w:p w:rsidR="001675B9" w:rsidRPr="00E3510C" w:rsidRDefault="00B0182E">
      <w:pPr>
        <w:spacing w:line="276" w:lineRule="auto"/>
        <w:rPr>
          <w:rFonts w:asciiTheme="majorHAnsi" w:eastAsiaTheme="majorEastAsia" w:hAnsiTheme="majorHAnsi" w:cstheme="majorBidi"/>
          <w:b/>
          <w:bCs/>
          <w:color w:val="007680" w:themeColor="accent1"/>
          <w:sz w:val="24"/>
          <w:szCs w:val="26"/>
          <w:lang w:val="fr-CA"/>
        </w:rPr>
      </w:pPr>
      <w:r w:rsidRPr="00E3510C">
        <w:rPr>
          <w:lang w:val="fr-CA"/>
        </w:rPr>
        <w:br w:type="page"/>
      </w:r>
    </w:p>
    <w:p w:rsidR="001675B9" w:rsidRPr="00E3510C" w:rsidRDefault="00B80CD4" w:rsidP="001675B9">
      <w:pPr>
        <w:pStyle w:val="Heading2"/>
        <w:rPr>
          <w:lang w:val="fr-CA"/>
        </w:rPr>
      </w:pPr>
      <w:bookmarkStart w:id="17" w:name="lt_pId040"/>
      <w:r w:rsidRPr="00E3510C">
        <w:rPr>
          <w:lang w:val="fr-CA"/>
        </w:rPr>
        <w:lastRenderedPageBreak/>
        <w:t>Ressources</w:t>
      </w:r>
      <w:bookmarkEnd w:id="17"/>
    </w:p>
    <w:p w:rsidR="001675B9" w:rsidRPr="00E3510C" w:rsidRDefault="001675B9" w:rsidP="001675B9">
      <w:pPr>
        <w:rPr>
          <w:lang w:val="fr-CA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965183" w:rsidRPr="00E3510C" w:rsidTr="00816539">
        <w:tc>
          <w:tcPr>
            <w:tcW w:w="4675" w:type="dxa"/>
          </w:tcPr>
          <w:p w:rsidR="001675B9" w:rsidRPr="00E3510C" w:rsidRDefault="00BC3270" w:rsidP="001675B9">
            <w:pPr>
              <w:rPr>
                <w:bCs/>
                <w:lang w:val="fr-CA"/>
              </w:rPr>
            </w:pPr>
            <w:hyperlink r:id="rId9" w:history="1">
              <w:r w:rsidR="005A57FC" w:rsidRPr="00E3510C">
                <w:rPr>
                  <w:rStyle w:val="Hyperlink"/>
                  <w:bCs/>
                  <w:lang w:val="fr-CA"/>
                </w:rPr>
                <w:t>Modèle de mandat</w:t>
              </w:r>
            </w:hyperlink>
          </w:p>
          <w:p w:rsidR="001675B9" w:rsidRPr="00E3510C" w:rsidRDefault="001675B9" w:rsidP="001675B9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1675B9" w:rsidRPr="00E3510C" w:rsidRDefault="00B0182E" w:rsidP="000A36A1">
            <w:pPr>
              <w:jc w:val="center"/>
              <w:rPr>
                <w:lang w:val="fr-CA"/>
              </w:rPr>
            </w:pPr>
            <w:r w:rsidRPr="00E3510C">
              <w:rPr>
                <w:noProof/>
                <w:lang w:val="fr-CA" w:eastAsia="fr-CA"/>
              </w:rPr>
              <w:drawing>
                <wp:inline distT="0" distB="0" distL="0" distR="0" wp14:anchorId="7CECF7BE" wp14:editId="29E9241E">
                  <wp:extent cx="914400" cy="914400"/>
                  <wp:effectExtent l="0" t="0" r="0" b="0"/>
                  <wp:docPr id="14" name="Picture 14" descr="C:\Users\amurphy\AppData\Local\Microsoft\Windows\INetCache\Content.MSO\FB114CD8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1571432" name="Picture 5" descr="C:\Users\amurphy\AppData\Local\Microsoft\Windows\INetCache\Content.MSO\FB114CD8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504" cy="9145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Pr="00E3510C" w:rsidRDefault="00816539" w:rsidP="00816539">
            <w:pPr>
              <w:rPr>
                <w:lang w:val="fr-CA"/>
              </w:rPr>
            </w:pPr>
          </w:p>
          <w:p w:rsidR="00816539" w:rsidRPr="00E3510C" w:rsidRDefault="00816539" w:rsidP="00816539">
            <w:pPr>
              <w:rPr>
                <w:lang w:val="fr-CA"/>
              </w:rPr>
            </w:pPr>
          </w:p>
        </w:tc>
      </w:tr>
      <w:tr w:rsidR="00965183" w:rsidRPr="00E3510C" w:rsidTr="00816539">
        <w:tc>
          <w:tcPr>
            <w:tcW w:w="4675" w:type="dxa"/>
          </w:tcPr>
          <w:p w:rsidR="005A57FC" w:rsidRPr="00E3510C" w:rsidRDefault="00BC3270" w:rsidP="005A57FC">
            <w:pPr>
              <w:rPr>
                <w:bCs/>
                <w:lang w:val="fr-CA"/>
              </w:rPr>
            </w:pPr>
            <w:hyperlink r:id="rId11" w:history="1">
              <w:r w:rsidR="005A57FC" w:rsidRPr="00E3510C">
                <w:rPr>
                  <w:rStyle w:val="Hyperlink"/>
                  <w:bCs/>
                  <w:lang w:val="fr-CA"/>
                </w:rPr>
                <w:t>Modèle de processus et de procédures de prise de décision</w:t>
              </w:r>
            </w:hyperlink>
          </w:p>
          <w:p w:rsidR="001675B9" w:rsidRPr="00E3510C" w:rsidRDefault="001675B9" w:rsidP="001675B9">
            <w:pPr>
              <w:rPr>
                <w:lang w:val="fr-CA"/>
              </w:rPr>
            </w:pPr>
          </w:p>
        </w:tc>
        <w:tc>
          <w:tcPr>
            <w:tcW w:w="4675" w:type="dxa"/>
          </w:tcPr>
          <w:p w:rsidR="001675B9" w:rsidRPr="00E3510C" w:rsidRDefault="00B0182E" w:rsidP="000A36A1">
            <w:pPr>
              <w:jc w:val="center"/>
              <w:rPr>
                <w:lang w:val="fr-CA"/>
              </w:rPr>
            </w:pPr>
            <w:r w:rsidRPr="00E3510C">
              <w:rPr>
                <w:noProof/>
                <w:lang w:val="fr-CA" w:eastAsia="fr-CA"/>
              </w:rPr>
              <w:drawing>
                <wp:inline distT="0" distB="0" distL="0" distR="0" wp14:anchorId="701B628B" wp14:editId="65A071EB">
                  <wp:extent cx="914400" cy="914400"/>
                  <wp:effectExtent l="0" t="0" r="0" b="0"/>
                  <wp:docPr id="15" name="Picture 15" descr="C:\Users\amurphy\AppData\Local\Microsoft\Windows\INetCache\Content.MSO\2D62C0A6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64677089" name="Picture 7" descr="C:\Users\amurphy\AppData\Local\Microsoft\Windows\INetCache\Content.MSO\2D62C0A6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</w:tc>
      </w:tr>
      <w:tr w:rsidR="00965183" w:rsidRPr="00E3510C" w:rsidTr="00816539">
        <w:tc>
          <w:tcPr>
            <w:tcW w:w="4675" w:type="dxa"/>
          </w:tcPr>
          <w:p w:rsidR="001675B9" w:rsidRPr="00E3510C" w:rsidRDefault="00BC3270" w:rsidP="001675B9">
            <w:pPr>
              <w:rPr>
                <w:lang w:val="fr-CA"/>
              </w:rPr>
            </w:pPr>
            <w:hyperlink r:id="rId13" w:history="1">
              <w:r w:rsidR="005A57FC" w:rsidRPr="00E3510C">
                <w:rPr>
                  <w:rStyle w:val="Hyperlink"/>
                  <w:lang w:val="fr-CA"/>
                </w:rPr>
                <w:t>Cas simulés présentés aux comités de compétence</w:t>
              </w:r>
            </w:hyperlink>
          </w:p>
        </w:tc>
        <w:tc>
          <w:tcPr>
            <w:tcW w:w="4675" w:type="dxa"/>
          </w:tcPr>
          <w:p w:rsidR="001675B9" w:rsidRPr="00E3510C" w:rsidRDefault="00B0182E" w:rsidP="000A36A1">
            <w:pPr>
              <w:jc w:val="center"/>
              <w:rPr>
                <w:lang w:val="fr-CA"/>
              </w:rPr>
            </w:pPr>
            <w:r w:rsidRPr="00E3510C">
              <w:rPr>
                <w:noProof/>
                <w:lang w:val="fr-CA" w:eastAsia="fr-CA"/>
              </w:rPr>
              <w:drawing>
                <wp:inline distT="0" distB="0" distL="0" distR="0" wp14:anchorId="573F3523" wp14:editId="2EE667B7">
                  <wp:extent cx="914400" cy="914400"/>
                  <wp:effectExtent l="0" t="0" r="0" b="0"/>
                  <wp:docPr id="16" name="Picture 16" descr="C:\Users\amurphy\AppData\Local\Microsoft\Windows\INetCache\Content.MSO\81D63BA4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77282235" name="Picture 9" descr="C:\Users\amurphy\AppData\Local\Microsoft\Windows\INetCache\Content.MSO\81D63BA4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16539" w:rsidRPr="00E3510C" w:rsidRDefault="00816539" w:rsidP="001675B9">
            <w:pPr>
              <w:rPr>
                <w:lang w:val="fr-CA"/>
              </w:rPr>
            </w:pPr>
          </w:p>
        </w:tc>
      </w:tr>
      <w:tr w:rsidR="00965183" w:rsidRPr="00794DB2" w:rsidTr="00816539">
        <w:tc>
          <w:tcPr>
            <w:tcW w:w="4675" w:type="dxa"/>
          </w:tcPr>
          <w:p w:rsidR="001675B9" w:rsidRPr="00E3510C" w:rsidRDefault="00BC3270" w:rsidP="001675B9">
            <w:pPr>
              <w:rPr>
                <w:lang w:val="fr-CA"/>
              </w:rPr>
            </w:pPr>
            <w:hyperlink r:id="rId15" w:history="1">
              <w:r w:rsidR="00B6799A" w:rsidRPr="00E3510C">
                <w:rPr>
                  <w:rStyle w:val="Hyperlink"/>
                  <w:lang w:val="fr-CA"/>
                </w:rPr>
                <w:t>Recommand</w:t>
              </w:r>
              <w:r w:rsidR="00B6799A" w:rsidRPr="00E3510C">
                <w:rPr>
                  <w:rStyle w:val="Hyperlink"/>
                  <w:lang w:val="fr-CA"/>
                </w:rPr>
                <w:t>a</w:t>
              </w:r>
              <w:r w:rsidR="00B6799A" w:rsidRPr="00E3510C">
                <w:rPr>
                  <w:rStyle w:val="Hyperlink"/>
                  <w:lang w:val="fr-CA"/>
                </w:rPr>
                <w:t>tions sur le statut de l</w:t>
              </w:r>
              <w:r w:rsidR="00E3510C" w:rsidRPr="00E3510C">
                <w:rPr>
                  <w:rStyle w:val="Hyperlink"/>
                  <w:lang w:val="fr-CA"/>
                </w:rPr>
                <w:t>’</w:t>
              </w:r>
              <w:r w:rsidR="00B6799A" w:rsidRPr="00E3510C">
                <w:rPr>
                  <w:rStyle w:val="Hyperlink"/>
                  <w:lang w:val="fr-CA"/>
                </w:rPr>
                <w:t>apprenant du Collège royal</w:t>
              </w:r>
            </w:hyperlink>
          </w:p>
        </w:tc>
        <w:tc>
          <w:tcPr>
            <w:tcW w:w="4675" w:type="dxa"/>
          </w:tcPr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816539" w:rsidRPr="00E3510C" w:rsidRDefault="00816539" w:rsidP="001675B9">
            <w:pPr>
              <w:rPr>
                <w:lang w:val="fr-CA"/>
              </w:rPr>
            </w:pPr>
          </w:p>
          <w:p w:rsidR="001675B9" w:rsidRPr="00E3510C" w:rsidRDefault="00B0182E" w:rsidP="001675B9">
            <w:pPr>
              <w:rPr>
                <w:lang w:val="fr-CA"/>
              </w:rPr>
            </w:pPr>
            <w:r w:rsidRPr="00E3510C">
              <w:rPr>
                <w:b/>
                <w:bCs/>
                <w:noProof/>
                <w:lang w:val="fr-CA" w:eastAsia="fr-CA"/>
              </w:rPr>
              <w:drawing>
                <wp:anchor distT="0" distB="0" distL="114300" distR="114300" simplePos="0" relativeHeight="251661312" behindDoc="1" locked="0" layoutInCell="1" allowOverlap="1" wp14:anchorId="5825B5D0" wp14:editId="39BCE0B4">
                  <wp:simplePos x="0" y="0"/>
                  <wp:positionH relativeFrom="margin">
                    <wp:align>center</wp:align>
                  </wp:positionH>
                  <wp:positionV relativeFrom="margin">
                    <wp:align>top</wp:align>
                  </wp:positionV>
                  <wp:extent cx="962526" cy="914400"/>
                  <wp:effectExtent l="0" t="0" r="9525" b="0"/>
                  <wp:wrapSquare wrapText="bothSides"/>
                  <wp:docPr id="10" name="Picture 10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1A1DEC4E-7197-EF42-B0ED-BFCE85A9293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30410818" name="Picture 10">
                            <a:extLst>
                              <a:ext uri="{FF2B5EF4-FFF2-40B4-BE49-F238E27FC236}">
                                <a16:creationId xmlns:a16="http://schemas.microsoft.com/office/drawing/2014/main" id="{1A1DEC4E-7197-EF42-B0ED-BFCE85A92938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62526" cy="914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bookmarkStart w:id="18" w:name="lt_pId045"/>
      <w:tr w:rsidR="00965183" w:rsidRPr="00E3510C" w:rsidTr="00816539">
        <w:tc>
          <w:tcPr>
            <w:tcW w:w="4675" w:type="dxa"/>
          </w:tcPr>
          <w:p w:rsidR="00BC3270" w:rsidRPr="00BC3270" w:rsidRDefault="00BC3270" w:rsidP="00BC3270">
            <w:pPr>
              <w:rPr>
                <w:lang w:val="fr-CA"/>
              </w:rPr>
            </w:pPr>
            <w:r>
              <w:fldChar w:fldCharType="begin"/>
            </w:r>
            <w:r>
              <w:instrText>HYPERLINK "http://www.royalcollege.ca/mssites/cbdpd/fr/content/index.html" \l "/lessons/eamWULT5GEWgvmeics_f6JUrpYQddJy3"</w:instrText>
            </w:r>
            <w:r>
              <w:fldChar w:fldCharType="separate"/>
            </w:r>
            <w:r>
              <w:rPr>
                <w:rStyle w:val="Hyperlink"/>
                <w:lang w:val="fr-CA"/>
              </w:rPr>
              <w:t>Former un comité de compétence</w:t>
            </w:r>
            <w:r>
              <w:fldChar w:fldCharType="end"/>
            </w:r>
          </w:p>
          <w:p w:rsidR="001675B9" w:rsidRPr="00E3510C" w:rsidRDefault="00E85CED" w:rsidP="00E85CED">
            <w:pPr>
              <w:rPr>
                <w:bCs/>
                <w:lang w:val="fr-CA"/>
              </w:rPr>
            </w:pPr>
            <w:r w:rsidRPr="00E3510C">
              <w:rPr>
                <w:bCs/>
                <w:lang w:val="fr-CA"/>
              </w:rPr>
              <w:t xml:space="preserve"> (</w:t>
            </w:r>
            <w:proofErr w:type="gramStart"/>
            <w:r w:rsidR="00B6799A" w:rsidRPr="00E3510C">
              <w:rPr>
                <w:bCs/>
                <w:lang w:val="fr-CA"/>
              </w:rPr>
              <w:t>la</w:t>
            </w:r>
            <w:proofErr w:type="gramEnd"/>
            <w:r w:rsidR="00B6799A" w:rsidRPr="00E3510C">
              <w:rPr>
                <w:bCs/>
                <w:lang w:val="fr-CA"/>
              </w:rPr>
              <w:t xml:space="preserve"> CPC pour les directeurs de programme</w:t>
            </w:r>
            <w:r w:rsidRPr="00E3510C">
              <w:rPr>
                <w:bCs/>
                <w:lang w:val="fr-CA"/>
              </w:rPr>
              <w:t>)</w:t>
            </w:r>
            <w:bookmarkEnd w:id="18"/>
          </w:p>
          <w:p w:rsidR="002B3808" w:rsidRPr="00E3510C" w:rsidRDefault="002B3808" w:rsidP="00E85CED">
            <w:pPr>
              <w:rPr>
                <w:lang w:val="fr-CA"/>
              </w:rPr>
            </w:pPr>
            <w:bookmarkStart w:id="19" w:name="_GoBack"/>
            <w:bookmarkEnd w:id="19"/>
          </w:p>
        </w:tc>
        <w:tc>
          <w:tcPr>
            <w:tcW w:w="4675" w:type="dxa"/>
          </w:tcPr>
          <w:p w:rsidR="001675B9" w:rsidRPr="00E3510C" w:rsidRDefault="00B0182E" w:rsidP="000A36A1">
            <w:pPr>
              <w:jc w:val="center"/>
              <w:rPr>
                <w:lang w:val="fr-CA"/>
              </w:rPr>
            </w:pPr>
            <w:r w:rsidRPr="00E3510C">
              <w:rPr>
                <w:noProof/>
                <w:lang w:val="fr-CA" w:eastAsia="fr-CA"/>
              </w:rPr>
              <w:drawing>
                <wp:inline distT="0" distB="0" distL="0" distR="0" wp14:anchorId="1E0521B3" wp14:editId="45EA8E5E">
                  <wp:extent cx="914400" cy="914400"/>
                  <wp:effectExtent l="0" t="0" r="0" b="0"/>
                  <wp:docPr id="12" name="Picture 12" descr="C:\Users\amurphy\AppData\Local\Microsoft\Windows\INetCache\Content.MSO\CF6678CC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6031992" name="Picture 1" descr="C:\Users\amurphy\AppData\Local\Microsoft\Windows\INetCache\Content.MSO\CF6678CC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B3808" w:rsidRPr="00E3510C" w:rsidRDefault="002B3808" w:rsidP="000A36A1">
            <w:pPr>
              <w:jc w:val="center"/>
              <w:rPr>
                <w:lang w:val="fr-CA"/>
              </w:rPr>
            </w:pPr>
          </w:p>
          <w:p w:rsidR="002B3808" w:rsidRPr="00E3510C" w:rsidRDefault="002B3808" w:rsidP="000A36A1">
            <w:pPr>
              <w:jc w:val="center"/>
              <w:rPr>
                <w:lang w:val="fr-CA"/>
              </w:rPr>
            </w:pPr>
          </w:p>
        </w:tc>
      </w:tr>
      <w:tr w:rsidR="00965183" w:rsidRPr="00E3510C" w:rsidTr="00816539">
        <w:tc>
          <w:tcPr>
            <w:tcW w:w="4675" w:type="dxa"/>
          </w:tcPr>
          <w:p w:rsidR="00816539" w:rsidRPr="00E3510C" w:rsidRDefault="00BC3270" w:rsidP="00E85CED">
            <w:pPr>
              <w:rPr>
                <w:bCs/>
                <w:lang w:val="fr-CA"/>
              </w:rPr>
            </w:pPr>
            <w:hyperlink r:id="rId18" w:history="1">
              <w:r w:rsidR="00B6799A" w:rsidRPr="00E3510C">
                <w:rPr>
                  <w:rStyle w:val="Hyperlink"/>
                  <w:bCs/>
                  <w:lang w:val="fr-CA"/>
                </w:rPr>
                <w:t xml:space="preserve">Répertoire </w:t>
              </w:r>
              <w:r w:rsidR="00B6799A" w:rsidRPr="00E3510C">
                <w:rPr>
                  <w:rStyle w:val="Hyperlink"/>
                  <w:bCs/>
                  <w:lang w:val="fr-CA"/>
                </w:rPr>
                <w:t>d</w:t>
              </w:r>
              <w:r w:rsidR="00B6799A" w:rsidRPr="00E3510C">
                <w:rPr>
                  <w:rStyle w:val="Hyperlink"/>
                  <w:bCs/>
                  <w:lang w:val="fr-CA"/>
                </w:rPr>
                <w:t>es ressources sur la CPC</w:t>
              </w:r>
            </w:hyperlink>
          </w:p>
        </w:tc>
        <w:tc>
          <w:tcPr>
            <w:tcW w:w="4675" w:type="dxa"/>
          </w:tcPr>
          <w:p w:rsidR="00816539" w:rsidRPr="00E3510C" w:rsidRDefault="00B0182E" w:rsidP="002B3808">
            <w:pPr>
              <w:jc w:val="center"/>
              <w:rPr>
                <w:noProof/>
                <w:lang w:val="fr-CA"/>
              </w:rPr>
            </w:pPr>
            <w:r w:rsidRPr="00E3510C">
              <w:rPr>
                <w:noProof/>
                <w:lang w:val="fr-CA" w:eastAsia="fr-CA"/>
              </w:rPr>
              <w:drawing>
                <wp:inline distT="0" distB="0" distL="0" distR="0" wp14:anchorId="52648AC8" wp14:editId="762D044D">
                  <wp:extent cx="1022350" cy="1022350"/>
                  <wp:effectExtent l="0" t="0" r="6350" b="6350"/>
                  <wp:docPr id="13" name="Picture 13" descr="C:\Users\amurphy\AppData\Local\Microsoft\Windows\INetCache\Content.MSO\7EC874BA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11573620" name="Picture 3" descr="C:\Users\amurphy\AppData\Local\Microsoft\Windows\INetCache\Content.MSO\7EC874BA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2350" cy="1022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675B9" w:rsidRPr="00E3510C" w:rsidRDefault="001675B9" w:rsidP="001675B9">
      <w:pPr>
        <w:rPr>
          <w:lang w:val="fr-CA"/>
        </w:rPr>
      </w:pPr>
    </w:p>
    <w:p w:rsidR="009B1534" w:rsidRPr="00E3510C" w:rsidRDefault="00B0182E" w:rsidP="00EA5201">
      <w:pPr>
        <w:pStyle w:val="Heading2"/>
        <w:rPr>
          <w:szCs w:val="24"/>
          <w:lang w:val="fr-CA"/>
        </w:rPr>
      </w:pPr>
      <w:bookmarkStart w:id="20" w:name="lt_pId047"/>
      <w:r w:rsidRPr="00E3510C">
        <w:rPr>
          <w:szCs w:val="24"/>
          <w:lang w:val="fr-CA"/>
        </w:rPr>
        <w:lastRenderedPageBreak/>
        <w:t>R</w:t>
      </w:r>
      <w:r w:rsidR="00B6799A" w:rsidRPr="00E3510C">
        <w:rPr>
          <w:szCs w:val="24"/>
          <w:lang w:val="fr-CA"/>
        </w:rPr>
        <w:t>é</w:t>
      </w:r>
      <w:r w:rsidRPr="00E3510C">
        <w:rPr>
          <w:szCs w:val="24"/>
          <w:lang w:val="fr-CA"/>
        </w:rPr>
        <w:t>f</w:t>
      </w:r>
      <w:r w:rsidR="00B6799A" w:rsidRPr="00E3510C">
        <w:rPr>
          <w:szCs w:val="24"/>
          <w:lang w:val="fr-CA"/>
        </w:rPr>
        <w:t>é</w:t>
      </w:r>
      <w:r w:rsidRPr="00E3510C">
        <w:rPr>
          <w:szCs w:val="24"/>
          <w:lang w:val="fr-CA"/>
        </w:rPr>
        <w:t>rences</w:t>
      </w:r>
      <w:bookmarkEnd w:id="20"/>
      <w:r w:rsidRPr="00E3510C">
        <w:rPr>
          <w:szCs w:val="24"/>
          <w:lang w:val="fr-CA"/>
        </w:rPr>
        <w:t xml:space="preserve"> </w:t>
      </w:r>
    </w:p>
    <w:p w:rsidR="00816539" w:rsidRPr="00E3510C" w:rsidRDefault="00B6799A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Cs w:val="20"/>
          <w:lang w:val="fr-CA"/>
        </w:rPr>
      </w:pPr>
      <w:bookmarkStart w:id="21" w:name="lt_pId048"/>
      <w:r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 xml:space="preserve">Mise en </w:t>
      </w:r>
      <w:r w:rsidR="00CC2C36"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>œ</w:t>
      </w:r>
      <w:r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>uvre</w:t>
      </w:r>
      <w:bookmarkEnd w:id="21"/>
    </w:p>
    <w:p w:rsidR="00816539" w:rsidRPr="00794DB2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en-US"/>
        </w:rPr>
      </w:pPr>
      <w:bookmarkStart w:id="22" w:name="lt_pId049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Benjamin Kinnear, Eric J. Warm, Karen E. Hauer.</w:t>
      </w:r>
      <w:bookmarkEnd w:id="22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</w:t>
      </w:r>
      <w:bookmarkStart w:id="23" w:name="lt_pId050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(2018) </w:t>
      </w:r>
      <w:hyperlink r:id="rId20" w:tgtFrame="_blank" w:history="1">
        <w:r w:rsidRPr="00794DB2">
          <w:rPr>
            <w:rStyle w:val="Hyperlink"/>
            <w:rFonts w:asciiTheme="minorHAnsi" w:hAnsiTheme="minorHAnsi" w:cstheme="minorHAnsi"/>
            <w:szCs w:val="20"/>
            <w:bdr w:val="none" w:sz="0" w:space="0" w:color="auto" w:frame="1"/>
            <w:lang w:val="en-US"/>
          </w:rPr>
          <w:t>Twelve tips to maximize the value of a clinical competency committee in postgraduate medical education</w:t>
        </w:r>
      </w:hyperlink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.</w:t>
      </w:r>
      <w:bookmarkEnd w:id="23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  <w:bookmarkStart w:id="24" w:name="lt_pId051"/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en-US"/>
        </w:rPr>
        <w:t>Medical Teacher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40:11, pages 1110-1115.</w:t>
      </w:r>
      <w:bookmarkEnd w:id="24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</w:p>
    <w:p w:rsidR="00816539" w:rsidRPr="00E3510C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fr-CA"/>
        </w:rPr>
      </w:pPr>
      <w:bookmarkStart w:id="25" w:name="lt_pId052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French, et al. “A Systematic Approach Toward Building a Fully Operational Clinical Competency Committee.”</w:t>
      </w:r>
      <w:bookmarkEnd w:id="25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 </w:t>
      </w:r>
      <w:bookmarkStart w:id="26" w:name="lt_pId053"/>
      <w:r w:rsidRPr="00E3510C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fr-CA"/>
        </w:rPr>
        <w:t xml:space="preserve">Journal of </w:t>
      </w:r>
      <w:proofErr w:type="spellStart"/>
      <w:r w:rsidRPr="00E3510C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fr-CA"/>
        </w:rPr>
        <w:t>Surgical</w:t>
      </w:r>
      <w:proofErr w:type="spellEnd"/>
      <w:r w:rsidRPr="00E3510C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fr-CA"/>
        </w:rPr>
        <w:t xml:space="preserve"> Education</w:t>
      </w:r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, vol.</w:t>
      </w:r>
      <w:bookmarkEnd w:id="26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 xml:space="preserve"> </w:t>
      </w:r>
      <w:bookmarkStart w:id="27" w:name="lt_pId054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71, no. 6, 2014, pp. e22–e27.</w:t>
      </w:r>
      <w:bookmarkEnd w:id="27"/>
    </w:p>
    <w:p w:rsidR="00816539" w:rsidRPr="00E3510C" w:rsidRDefault="00CC2C36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</w:pPr>
      <w:bookmarkStart w:id="28" w:name="lt_pId055"/>
      <w:r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 xml:space="preserve">Cadres et </w:t>
      </w:r>
      <w:bookmarkEnd w:id="28"/>
      <w:r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>modèles de processus</w:t>
      </w:r>
    </w:p>
    <w:p w:rsidR="00816539" w:rsidRPr="00794DB2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en-US"/>
        </w:rPr>
      </w:pPr>
      <w:bookmarkStart w:id="29" w:name="lt_pId056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Rachael Pack, Lorelei Lingard, Christopher J Watling, Saad Chahine, </w:t>
      </w:r>
      <w:proofErr w:type="spellStart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Sayra</w:t>
      </w:r>
      <w:proofErr w:type="spellEnd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M </w:t>
      </w:r>
      <w:proofErr w:type="spellStart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Cristancho</w:t>
      </w:r>
      <w:proofErr w:type="spellEnd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.</w:t>
      </w:r>
      <w:bookmarkEnd w:id="29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</w:t>
      </w:r>
      <w:bookmarkStart w:id="30" w:name="lt_pId057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(2019) Some assembly required: tracing the interpretative work of Clinical Competency Committees.</w:t>
      </w:r>
      <w:bookmarkEnd w:id="30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  <w:bookmarkStart w:id="31" w:name="lt_pId058"/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en-US"/>
        </w:rPr>
        <w:t>Medical Education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32.</w:t>
      </w:r>
      <w:bookmarkEnd w:id="31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</w:p>
    <w:p w:rsidR="00816539" w:rsidRPr="00794DB2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en-US"/>
        </w:rPr>
      </w:pPr>
      <w:bookmarkStart w:id="32" w:name="lt_pId059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Amy Acker &amp; Emily </w:t>
      </w:r>
      <w:proofErr w:type="spellStart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Hawksby</w:t>
      </w:r>
      <w:proofErr w:type="spellEnd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(2019) Competence committee: How meeting frequency impacts committee function and learner-centered assessment, Medical Teacher, DOI: 10.1080/0142159X.2019.1627302</w:t>
      </w:r>
      <w:bookmarkEnd w:id="32"/>
    </w:p>
    <w:p w:rsidR="00816539" w:rsidRPr="00794DB2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</w:pPr>
      <w:bookmarkStart w:id="33" w:name="lt_pId060"/>
      <w:proofErr w:type="spellStart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>Duitsman</w:t>
      </w:r>
      <w:proofErr w:type="spellEnd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 xml:space="preserve">, </w:t>
      </w:r>
      <w:proofErr w:type="spellStart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>Marrigje</w:t>
      </w:r>
      <w:proofErr w:type="spellEnd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 xml:space="preserve"> E., et al. 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“Judging Residents</w:t>
      </w:r>
      <w:r w:rsidR="00E3510C"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’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 Performance: </w:t>
      </w:r>
      <w:proofErr w:type="gramStart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a</w:t>
      </w:r>
      <w:proofErr w:type="gramEnd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 Qualitative Study Using Grounded Theory.”</w:t>
      </w:r>
      <w:bookmarkEnd w:id="33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 </w:t>
      </w:r>
      <w:bookmarkStart w:id="34" w:name="lt_pId061"/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en-US"/>
        </w:rPr>
        <w:t>BMC Medical Education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, vol.</w:t>
      </w:r>
      <w:bookmarkEnd w:id="34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</w:t>
      </w:r>
      <w:bookmarkStart w:id="35" w:name="lt_pId062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19, no. 1, 2019, pp. 1–9.</w:t>
      </w:r>
      <w:bookmarkEnd w:id="35"/>
    </w:p>
    <w:p w:rsidR="00816539" w:rsidRPr="00E3510C" w:rsidRDefault="00B0182E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  <w:lang w:val="fr-CA"/>
        </w:rPr>
      </w:pPr>
      <w:bookmarkStart w:id="36" w:name="lt_pId063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Schumacher, et al. “Thresholds and Interpretations: How Clinical Competency Committees Identify Pediatric Residents with Performance Concerns.”</w:t>
      </w:r>
      <w:bookmarkEnd w:id="36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  <w:bookmarkStart w:id="37" w:name="lt_pId064"/>
      <w:r w:rsidRPr="00E3510C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fr-CA"/>
        </w:rPr>
        <w:t>Medical Teacher</w:t>
      </w:r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, vol.</w:t>
      </w:r>
      <w:bookmarkEnd w:id="37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 xml:space="preserve"> </w:t>
      </w:r>
      <w:bookmarkStart w:id="38" w:name="lt_pId065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40, no. 1, 2018, pp. 70–79.</w:t>
      </w:r>
      <w:bookmarkEnd w:id="38"/>
    </w:p>
    <w:p w:rsidR="00816539" w:rsidRPr="00E3510C" w:rsidRDefault="00CC2C36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color w:val="201F1E"/>
          <w:szCs w:val="20"/>
          <w:lang w:val="fr-CA"/>
        </w:rPr>
      </w:pPr>
      <w:r w:rsidRPr="00E3510C">
        <w:rPr>
          <w:rFonts w:asciiTheme="minorHAnsi" w:hAnsiTheme="minorHAnsi" w:cstheme="minorHAnsi"/>
          <w:b/>
          <w:bCs/>
          <w:color w:val="000000"/>
          <w:szCs w:val="20"/>
          <w:bdr w:val="none" w:sz="0" w:space="0" w:color="auto" w:frame="1"/>
          <w:lang w:val="fr-CA"/>
        </w:rPr>
        <w:t>Prise de décisions</w:t>
      </w:r>
    </w:p>
    <w:p w:rsidR="00816539" w:rsidRPr="00794DB2" w:rsidRDefault="00B0182E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  <w:lang w:val="en-US"/>
        </w:rPr>
      </w:pPr>
      <w:bookmarkStart w:id="39" w:name="lt_pId067"/>
      <w:proofErr w:type="spellStart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Hauer</w:t>
      </w:r>
      <w:proofErr w:type="spellEnd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 xml:space="preserve">, Karen E, et al. 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“Ensuring Resident Competence: A Narrative Review of the Literature on Group Decision Making to Inform the Work of Clinical Competency Committees.”</w:t>
      </w:r>
      <w:bookmarkEnd w:id="39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 </w:t>
      </w:r>
      <w:bookmarkStart w:id="40" w:name="lt_pId068"/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en-US"/>
        </w:rPr>
        <w:t>Journal of Graduate Medical Education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, vol.</w:t>
      </w:r>
      <w:bookmarkEnd w:id="40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</w:t>
      </w:r>
      <w:bookmarkStart w:id="41" w:name="lt_pId069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8, no. 2, 2016, pp. 156–164.</w:t>
      </w:r>
      <w:bookmarkEnd w:id="41"/>
    </w:p>
    <w:p w:rsidR="00816539" w:rsidRPr="00794DB2" w:rsidRDefault="00B0182E" w:rsidP="0033159A">
      <w:pPr>
        <w:pStyle w:val="NormalWeb"/>
        <w:shd w:val="clear" w:color="auto" w:fill="FFFFFF"/>
        <w:spacing w:before="0" w:after="0"/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</w:pPr>
      <w:bookmarkStart w:id="42" w:name="lt_pId070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Chahine, Saad, et al. “How Do Small Groups Make Decisions?” </w:t>
      </w:r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en-US"/>
        </w:rPr>
        <w:t>Perspectives on Medical Education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, vol.</w:t>
      </w:r>
      <w:bookmarkEnd w:id="42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 xml:space="preserve"> </w:t>
      </w:r>
      <w:bookmarkStart w:id="43" w:name="lt_pId071"/>
      <w:r w:rsidRPr="00794DB2">
        <w:rPr>
          <w:rFonts w:asciiTheme="minorHAnsi" w:hAnsiTheme="minorHAnsi" w:cstheme="minorHAnsi"/>
          <w:szCs w:val="20"/>
          <w:bdr w:val="none" w:sz="0" w:space="0" w:color="auto" w:frame="1"/>
          <w:lang w:val="en-US"/>
        </w:rPr>
        <w:t>6, no. 3, 2017, pp. 192–198.</w:t>
      </w:r>
      <w:bookmarkEnd w:id="43"/>
    </w:p>
    <w:p w:rsidR="00816539" w:rsidRPr="00794DB2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en-US"/>
        </w:rPr>
      </w:pPr>
      <w:bookmarkStart w:id="44" w:name="lt_pId072"/>
      <w:proofErr w:type="spellStart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>Shumacher</w:t>
      </w:r>
      <w:proofErr w:type="spellEnd"/>
      <w:r w:rsidRPr="00E3510C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fr-CA"/>
        </w:rPr>
        <w:t xml:space="preserve">, Daniel J., et al. 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“Key Factors in Clinical Competency Committee Members</w:t>
      </w:r>
      <w:r w:rsidR="00E3510C"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’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 Decisions Regarding Residents</w:t>
      </w:r>
      <w:r w:rsidR="00E3510C"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’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 Readiness to Serve as Supervisors: A National Study.”</w:t>
      </w:r>
      <w:bookmarkEnd w:id="44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 </w:t>
      </w:r>
      <w:bookmarkStart w:id="45" w:name="lt_pId073"/>
      <w:r w:rsidRPr="00794DB2">
        <w:rPr>
          <w:rFonts w:asciiTheme="minorHAnsi" w:hAnsiTheme="minorHAnsi" w:cstheme="minorHAnsi"/>
          <w:i/>
          <w:iCs/>
          <w:szCs w:val="20"/>
          <w:bdr w:val="none" w:sz="0" w:space="0" w:color="auto" w:frame="1"/>
          <w:shd w:val="clear" w:color="auto" w:fill="FFFFFF"/>
          <w:lang w:val="en-US"/>
        </w:rPr>
        <w:t>Academic Medicine</w:t>
      </w:r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, vol.</w:t>
      </w:r>
      <w:bookmarkEnd w:id="45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 </w:t>
      </w:r>
      <w:bookmarkStart w:id="46" w:name="lt_pId074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94, no. 2, 2019, pp. 251–258.</w:t>
      </w:r>
      <w:bookmarkEnd w:id="46"/>
    </w:p>
    <w:p w:rsidR="00816539" w:rsidRPr="00626917" w:rsidRDefault="00B0182E" w:rsidP="0033159A">
      <w:pPr>
        <w:pStyle w:val="NormalWeb"/>
        <w:shd w:val="clear" w:color="auto" w:fill="FFFFFF"/>
        <w:spacing w:before="0" w:after="0" w:afterAutospacing="0"/>
        <w:rPr>
          <w:rFonts w:asciiTheme="minorHAnsi" w:hAnsiTheme="minorHAnsi" w:cstheme="minorHAnsi"/>
          <w:szCs w:val="20"/>
          <w:lang w:val="fr-CA"/>
        </w:rPr>
      </w:pPr>
      <w:bookmarkStart w:id="47" w:name="lt_pId075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 xml:space="preserve">Acai, Anita, et al. “Getting with the Times: </w:t>
      </w:r>
      <w:proofErr w:type="gramStart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a</w:t>
      </w:r>
      <w:proofErr w:type="gramEnd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 Narrative Review of the Literature on Group Decision Making in Virtual Environments and Implications for Promotions Committees.”</w:t>
      </w:r>
      <w:bookmarkEnd w:id="47"/>
      <w:r w:rsidRPr="00794DB2">
        <w:rPr>
          <w:rFonts w:asciiTheme="minorHAnsi" w:hAnsiTheme="minorHAnsi" w:cstheme="minorHAnsi"/>
          <w:szCs w:val="20"/>
          <w:bdr w:val="none" w:sz="0" w:space="0" w:color="auto" w:frame="1"/>
          <w:shd w:val="clear" w:color="auto" w:fill="FFFFFF"/>
          <w:lang w:val="en-US"/>
        </w:rPr>
        <w:t> </w:t>
      </w:r>
      <w:bookmarkStart w:id="48" w:name="lt_pId076"/>
      <w:r w:rsidRPr="00E3510C">
        <w:rPr>
          <w:rFonts w:asciiTheme="minorHAnsi" w:hAnsiTheme="minorHAnsi" w:cstheme="minorHAnsi"/>
          <w:i/>
          <w:iCs/>
          <w:szCs w:val="20"/>
          <w:bdr w:val="none" w:sz="0" w:space="0" w:color="auto" w:frame="1"/>
          <w:lang w:val="fr-CA"/>
        </w:rPr>
        <w:t>Perspectives on Medical Education</w:t>
      </w:r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, vol.</w:t>
      </w:r>
      <w:bookmarkEnd w:id="48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 xml:space="preserve"> </w:t>
      </w:r>
      <w:bookmarkStart w:id="49" w:name="lt_pId077"/>
      <w:r w:rsidRPr="00E3510C">
        <w:rPr>
          <w:rFonts w:asciiTheme="minorHAnsi" w:hAnsiTheme="minorHAnsi" w:cstheme="minorHAnsi"/>
          <w:szCs w:val="20"/>
          <w:bdr w:val="none" w:sz="0" w:space="0" w:color="auto" w:frame="1"/>
          <w:lang w:val="fr-CA"/>
        </w:rPr>
        <w:t>7, no. 3, 2018, pp. 147–155.</w:t>
      </w:r>
      <w:bookmarkEnd w:id="49"/>
    </w:p>
    <w:p w:rsidR="00816539" w:rsidRPr="00626917" w:rsidRDefault="00B0182E" w:rsidP="0033159A">
      <w:pPr>
        <w:pStyle w:val="NormalWeb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  <w:lang w:val="fr-CA"/>
        </w:rPr>
      </w:pPr>
      <w:r w:rsidRPr="00626917">
        <w:rPr>
          <w:rFonts w:ascii="inherit" w:hAnsi="inherit" w:cs="Calibri"/>
          <w:color w:val="000000"/>
          <w:szCs w:val="20"/>
          <w:bdr w:val="none" w:sz="0" w:space="0" w:color="auto" w:frame="1"/>
          <w:lang w:val="fr-CA"/>
        </w:rPr>
        <w:t> </w:t>
      </w:r>
    </w:p>
    <w:p w:rsidR="00816539" w:rsidRPr="00626917" w:rsidRDefault="00816539" w:rsidP="00816539">
      <w:pPr>
        <w:jc w:val="center"/>
        <w:rPr>
          <w:b/>
          <w:bCs/>
          <w:u w:val="single"/>
          <w:lang w:val="fr-CA"/>
        </w:rPr>
      </w:pPr>
    </w:p>
    <w:p w:rsidR="00D976BC" w:rsidRPr="00626917" w:rsidRDefault="00D976BC" w:rsidP="00CB73C0">
      <w:pPr>
        <w:pStyle w:val="Heading2"/>
        <w:rPr>
          <w:lang w:val="fr-CA"/>
        </w:rPr>
      </w:pPr>
    </w:p>
    <w:sectPr w:rsidR="00D976BC" w:rsidRPr="00626917" w:rsidSect="00255259">
      <w:headerReference w:type="default" r:id="rId21"/>
      <w:footerReference w:type="default" r:id="rId22"/>
      <w:footerReference w:type="first" r:id="rId23"/>
      <w:pgSz w:w="12240" w:h="15840"/>
      <w:pgMar w:top="1440" w:right="1440" w:bottom="1440" w:left="1440" w:header="432" w:footer="43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B22B4" w:rsidRDefault="002B22B4">
      <w:pPr>
        <w:spacing w:after="0"/>
      </w:pPr>
      <w:r>
        <w:separator/>
      </w:r>
    </w:p>
  </w:endnote>
  <w:endnote w:type="continuationSeparator" w:id="0">
    <w:p w:rsidR="002B22B4" w:rsidRDefault="002B22B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Open Sans Bold">
    <w:altName w:val="Arial"/>
    <w:charset w:val="00"/>
    <w:family w:val="swiss"/>
    <w:pitch w:val="variable"/>
    <w:sig w:usb0="E00002EF" w:usb1="4000205B" w:usb2="00000028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370408864"/>
      <w:docPartObj>
        <w:docPartGallery w:val="Page Numbers (Bottom of Page)"/>
        <w:docPartUnique/>
      </w:docPartObj>
    </w:sdtPr>
    <w:sdtEndPr>
      <w:rPr>
        <w:b/>
        <w:noProof/>
        <w:sz w:val="18"/>
        <w:szCs w:val="18"/>
      </w:rPr>
    </w:sdtEndPr>
    <w:sdtContent>
      <w:p w:rsidR="001604CE" w:rsidRPr="00813420" w:rsidRDefault="00B0182E">
        <w:pPr>
          <w:pStyle w:val="Footer"/>
          <w:jc w:val="center"/>
          <w:rPr>
            <w:b/>
            <w:sz w:val="18"/>
            <w:szCs w:val="18"/>
          </w:rPr>
        </w:pPr>
        <w:r w:rsidRPr="00813420">
          <w:rPr>
            <w:b/>
            <w:sz w:val="18"/>
            <w:szCs w:val="18"/>
          </w:rPr>
          <w:fldChar w:fldCharType="begin"/>
        </w:r>
        <w:r w:rsidRPr="00813420">
          <w:rPr>
            <w:b/>
            <w:sz w:val="18"/>
            <w:szCs w:val="18"/>
          </w:rPr>
          <w:instrText xml:space="preserve"> PAGE   \* MERGEFORMAT </w:instrText>
        </w:r>
        <w:r w:rsidRPr="00813420">
          <w:rPr>
            <w:b/>
            <w:sz w:val="18"/>
            <w:szCs w:val="18"/>
          </w:rPr>
          <w:fldChar w:fldCharType="separate"/>
        </w:r>
        <w:r w:rsidR="00E3510C">
          <w:rPr>
            <w:b/>
            <w:noProof/>
            <w:sz w:val="18"/>
            <w:szCs w:val="18"/>
          </w:rPr>
          <w:t>2</w:t>
        </w:r>
        <w:r w:rsidRPr="00813420">
          <w:rPr>
            <w:b/>
            <w:noProof/>
            <w:sz w:val="18"/>
            <w:szCs w:val="18"/>
          </w:rPr>
          <w:fldChar w:fldCharType="end"/>
        </w:r>
      </w:p>
    </w:sdtContent>
  </w:sdt>
  <w:p w:rsidR="001604CE" w:rsidRDefault="00B0182E">
    <w:pPr>
      <w:pStyle w:val="Footer"/>
    </w:pPr>
    <w:r>
      <w:rPr>
        <w:noProof/>
        <w:lang w:val="fr-CA" w:eastAsia="fr-CA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2831095</wp:posOffset>
              </wp:positionH>
              <wp:positionV relativeFrom="paragraph">
                <wp:posOffset>61595</wp:posOffset>
              </wp:positionV>
              <wp:extent cx="266700" cy="47625"/>
              <wp:effectExtent l="0" t="0" r="0" b="9525"/>
              <wp:wrapNone/>
              <wp:docPr id="3" name="Rectangle 3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66700" cy="47625"/>
                      </a:xfrm>
                      <a:prstGeom prst="rect">
                        <a:avLst/>
                      </a:prstGeom>
                      <a:solidFill>
                        <a:srgbClr val="00A3AD"/>
                      </a:solidFill>
                      <a:ln>
                        <a:noFill/>
                      </a:ln>
                      <a:effectLst/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numCol="1" spcCol="0" rtlCol="0" fromWordArt="0" anchor="ctr" anchorCtr="0" forceAA="0" compatLnSpc="1">
                      <a:prstTxWarp prst="textNoShape">
                        <a:avLst/>
                      </a:prstTxWarp>
                    </wps:bodyPr>
                  </wps:wsp>
                </a:graphicData>
              </a:graphic>
            </wp:anchor>
          </w:drawing>
        </mc:Choice>
        <mc:Fallback>
          <w:pict>
            <v:rect w14:anchorId="6956518B" id="Rectangle 3" o:spid="_x0000_s1026" style="position:absolute;margin-left:222.9pt;margin-top:4.85pt;width:21pt;height:3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GExgzgIAAA4GAAAOAAAAZHJzL2Uyb0RvYy54bWysVNtu2zAMfR+wfxD0ntq5NEmNOkUuy16K&#10;Nmg79FmV5cSALGmUmsuG/fsoyXa7rhiGYQEiUxJ5yENSvLw61pLsBdhKq5z2z1JKhOK6qNQ2p18e&#10;1r0pJdYxVTCplcjpSVh6Nfv44fJgMjHQOy0LAQRBlM0OJqc750yWJJbvRM3smTZC4WWpoWYOt7BN&#10;CmAHRK9lMkjTcXLQUBjQXFiLp6t4SWcBvywFd7dlaYUjMqcYmwsrhPXJr8nskmVbYGZX8SYM9g9R&#10;1KxS6LSDWjHHyDNUv0HVFQdtdenOuK4TXZYVF4EDsumnb9jc75gRgQsmx5ouTfb/wfKb/QZIVeR0&#10;SIliNZboDpPG1FYKMgyUxNFdW+fJoRRJfV/2p8PVZD3uLUYX095ouBj2LkbTRa8/GUwX54P5fPxp&#10;9MNbF4Jn+NfAXLUXbYbx5O8oNMX2yZkkLziU7BkWtO/Ll4S42m+INDkYmwVmvg+CeG82gMp+Z1H0&#10;bI4l1P6LRSDH0BGnriM8U46Hg/F4kmLfcLwaTcaD88Zja2vAus9C18QLOQVMXcgZ22MgMbhWxbuy&#10;WlbFupIybGD7tJQQqaTpfDhfNei/qEnllZX2ZhExnojQ3Y2bF15BcicpvJVUd6LE6nomIa7wrkTn&#10;lXEulOvHqx0WKwZznuKvjcW/RG8RMhwAPXKJ0XTYDUCrGUFa7Bhzo+9NY+CdcfqnwKJxZxE8a+U6&#10;47pSGt4DkMiq8Rz1MfxXqfHiky5O2Pug41Cwhq8rrOI1s27DAKcA1h0nm7vFpZT6kFPdSJTsNHx7&#10;79zrY2fjLSUHnCo5tV+fGQh8W8/1UoeeJegpiIgPTrZiCbp+xGE29wh4xRRHnJxyB+1m6eLkwnHI&#10;xXwe1HCMGOau1b3BJxUL4Tvu4fjIwDRt6bCdb3Q7TVj2pjujbpOgmJVmg0MnlL0ZkH6qvd4HrZcx&#10;PvsJAAD//wMAUEsDBBQABgAIAAAAIQBxQ4yf3wAAAAgBAAAPAAAAZHJzL2Rvd25yZXYueG1sTI/N&#10;TsMwEITvSLyDtUjcqEMJTQlxKkACcaBI/RHqcZtsk4h4HWI3DW/PcoLjaEYz32SL0bZqoN43jg1c&#10;TyJQxIUrG64MbDfPV3NQPiCX2DomA9/kYZGfn2WYlu7EKxrWoVJSwj5FA3UIXaq1L2qy6CeuIxbv&#10;4HqLQWRf6bLHk5TbVk+jaKYtNiwLNXb0VFPxuT5aAxu72z1+vd80y5ePYXl4xdlbR2jM5cX4cA8q&#10;0Bj+wvCLL+iQC9PeHbn0qjUQx7eCHgzcJaDEj+eJ6L0EkynoPNP/D+Q/AAAA//8DAFBLAQItABQA&#10;BgAIAAAAIQC2gziS/gAAAOEBAAATAAAAAAAAAAAAAAAAAAAAAABbQ29udGVudF9UeXBlc10ueG1s&#10;UEsBAi0AFAAGAAgAAAAhADj9If/WAAAAlAEAAAsAAAAAAAAAAAAAAAAALwEAAF9yZWxzLy5yZWxz&#10;UEsBAi0AFAAGAAgAAAAhAOcYTGDOAgAADgYAAA4AAAAAAAAAAAAAAAAALgIAAGRycy9lMm9Eb2Mu&#10;eG1sUEsBAi0AFAAGAAgAAAAhAHFDjJ/fAAAACAEAAA8AAAAAAAAAAAAAAAAAKAUAAGRycy9kb3du&#10;cmV2LnhtbFBLBQYAAAAABAAEAPMAAAA0BgAAAAA=&#10;" fillcolor="#00a3ad" stroked="f" strokeweight="1pt"/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813420" w:rsidRDefault="00B0182E" w:rsidP="005406B1">
    <w:pPr>
      <w:pStyle w:val="Footer"/>
      <w:jc w:val="right"/>
      <w:rPr>
        <w:color w:val="003A5B" w:themeColor="text2"/>
        <w:sz w:val="18"/>
        <w:szCs w:val="18"/>
      </w:rPr>
    </w:pPr>
    <w:r w:rsidRPr="00E3510C">
      <w:rPr>
        <w:noProof/>
        <w:color w:val="003A5B" w:themeColor="text2"/>
        <w:sz w:val="18"/>
        <w:szCs w:val="18"/>
        <w:lang w:val="fr-CA" w:eastAsia="fr-CA"/>
      </w:rPr>
      <w:drawing>
        <wp:anchor distT="0" distB="0" distL="114300" distR="114300" simplePos="0" relativeHeight="251660288" behindDoc="1" locked="0" layoutInCell="1" allowOverlap="1" wp14:anchorId="74A734BB" wp14:editId="4D9EF021">
          <wp:simplePos x="0" y="0"/>
          <wp:positionH relativeFrom="margin">
            <wp:posOffset>-451774</wp:posOffset>
          </wp:positionH>
          <wp:positionV relativeFrom="margin">
            <wp:posOffset>8135620</wp:posOffset>
          </wp:positionV>
          <wp:extent cx="1951200" cy="856800"/>
          <wp:effectExtent l="0" t="0" r="0" b="0"/>
          <wp:wrapNone/>
          <wp:docPr id="5" name="Picture 5" title="Royal Colleg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30010587" name="18_0129_RC_Logo_Revised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1200" cy="856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3510C">
      <w:rPr>
        <w:noProof/>
        <w:color w:val="003A5B" w:themeColor="text2"/>
        <w:sz w:val="18"/>
        <w:szCs w:val="18"/>
        <w:lang w:val="fr-CA" w:eastAsia="fr-CA"/>
      </w:rPr>
      <w:drawing>
        <wp:anchor distT="0" distB="0" distL="114300" distR="114300" simplePos="0" relativeHeight="251661312" behindDoc="0" locked="0" layoutInCell="1" allowOverlap="1" wp14:anchorId="656F081D" wp14:editId="6F97307A">
          <wp:simplePos x="0" y="0"/>
          <wp:positionH relativeFrom="column">
            <wp:posOffset>1024255</wp:posOffset>
          </wp:positionH>
          <wp:positionV relativeFrom="paragraph">
            <wp:posOffset>2032635</wp:posOffset>
          </wp:positionV>
          <wp:extent cx="6763385" cy="963295"/>
          <wp:effectExtent l="0" t="0" r="0" b="8255"/>
          <wp:wrapNone/>
          <wp:docPr id="7" name="Picture 7" descr="Image of the paper structure participants are asked to build as part of the workshop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52285376" name="Picture 0" descr="header-PDF_template2-e-f_BIL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3385" cy="9632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Start w:id="50" w:name="lt_pId000"/>
    <w:r w:rsidRPr="00E3510C">
      <w:rPr>
        <w:color w:val="003A5B" w:themeColor="text2"/>
        <w:sz w:val="18"/>
        <w:szCs w:val="18"/>
      </w:rPr>
      <w:t>royalcollege.ca</w:t>
    </w:r>
    <w:bookmarkEnd w:id="50"/>
    <w:r w:rsidRPr="00E3510C">
      <w:rPr>
        <w:color w:val="003A5B" w:themeColor="text2"/>
        <w:sz w:val="18"/>
        <w:szCs w:val="18"/>
      </w:rPr>
      <w:t xml:space="preserve">  </w:t>
    </w:r>
    <w:r w:rsidRPr="00E3510C">
      <w:rPr>
        <w:color w:val="00A3AD" w:themeColor="accent5"/>
        <w:sz w:val="18"/>
        <w:szCs w:val="18"/>
      </w:rPr>
      <w:t>•</w:t>
    </w:r>
    <w:r w:rsidRPr="00E3510C">
      <w:rPr>
        <w:color w:val="00A3AD"/>
        <w:sz w:val="18"/>
        <w:szCs w:val="18"/>
      </w:rPr>
      <w:t xml:space="preserve"> </w:t>
    </w:r>
    <w:r w:rsidRPr="00E3510C">
      <w:rPr>
        <w:color w:val="003A5B" w:themeColor="text2"/>
        <w:sz w:val="18"/>
        <w:szCs w:val="18"/>
      </w:rPr>
      <w:t xml:space="preserve"> </w:t>
    </w:r>
    <w:bookmarkStart w:id="51" w:name="lt_pId002"/>
    <w:r w:rsidRPr="00E3510C">
      <w:rPr>
        <w:color w:val="003A5B" w:themeColor="text2"/>
        <w:sz w:val="18"/>
        <w:szCs w:val="18"/>
      </w:rPr>
      <w:t>collegeroyal.ca</w:t>
    </w:r>
    <w:bookmarkEnd w:id="51"/>
    <w:r w:rsidRPr="00813420">
      <w:rPr>
        <w:color w:val="003A5B" w:themeColor="text2"/>
        <w:sz w:val="18"/>
        <w:szCs w:val="18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B22B4" w:rsidRDefault="002B22B4">
      <w:pPr>
        <w:spacing w:after="0"/>
      </w:pPr>
      <w:r>
        <w:separator/>
      </w:r>
    </w:p>
  </w:footnote>
  <w:footnote w:type="continuationSeparator" w:id="0">
    <w:p w:rsidR="002B22B4" w:rsidRDefault="002B22B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604CE" w:rsidRPr="005406B1" w:rsidRDefault="00B0182E">
    <w:pPr>
      <w:pStyle w:val="Header"/>
      <w:rPr>
        <w:color w:val="808080" w:themeColor="background1" w:themeShade="80"/>
      </w:rPr>
    </w:pPr>
    <w:r>
      <w:rPr>
        <w:noProof/>
        <w:lang w:val="fr-CA" w:eastAsia="fr-CA"/>
      </w:rPr>
      <w:drawing>
        <wp:anchor distT="0" distB="0" distL="114300" distR="114300" simplePos="0" relativeHeight="251662336" behindDoc="1" locked="1" layoutInCell="1" allowOverlap="1">
          <wp:simplePos x="0" y="0"/>
          <wp:positionH relativeFrom="column">
            <wp:posOffset>6315075</wp:posOffset>
          </wp:positionH>
          <wp:positionV relativeFrom="page">
            <wp:posOffset>168910</wp:posOffset>
          </wp:positionV>
          <wp:extent cx="352800" cy="648000"/>
          <wp:effectExtent l="0" t="0" r="0" b="0"/>
          <wp:wrapNone/>
          <wp:docPr id="48" name="Picture 4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2800" cy="64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7C9036E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4086C2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FC8E34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22DC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A768ED3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52C7E1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1E70B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2632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BF49C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318AAF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D71E9D"/>
    <w:multiLevelType w:val="hybridMultilevel"/>
    <w:tmpl w:val="41F02190"/>
    <w:lvl w:ilvl="0" w:tplc="72BE65E8">
      <w:start w:val="1"/>
      <w:numFmt w:val="decimal"/>
      <w:lvlText w:val="%1."/>
      <w:lvlJc w:val="left"/>
      <w:pPr>
        <w:ind w:left="720" w:hanging="360"/>
      </w:pPr>
    </w:lvl>
    <w:lvl w:ilvl="1" w:tplc="EDE63C60" w:tentative="1">
      <w:start w:val="1"/>
      <w:numFmt w:val="lowerLetter"/>
      <w:lvlText w:val="%2."/>
      <w:lvlJc w:val="left"/>
      <w:pPr>
        <w:ind w:left="1440" w:hanging="360"/>
      </w:pPr>
    </w:lvl>
    <w:lvl w:ilvl="2" w:tplc="AF0CDA74" w:tentative="1">
      <w:start w:val="1"/>
      <w:numFmt w:val="lowerRoman"/>
      <w:lvlText w:val="%3."/>
      <w:lvlJc w:val="right"/>
      <w:pPr>
        <w:ind w:left="2160" w:hanging="180"/>
      </w:pPr>
    </w:lvl>
    <w:lvl w:ilvl="3" w:tplc="48C2B3DE" w:tentative="1">
      <w:start w:val="1"/>
      <w:numFmt w:val="decimal"/>
      <w:lvlText w:val="%4."/>
      <w:lvlJc w:val="left"/>
      <w:pPr>
        <w:ind w:left="2880" w:hanging="360"/>
      </w:pPr>
    </w:lvl>
    <w:lvl w:ilvl="4" w:tplc="C18475A2" w:tentative="1">
      <w:start w:val="1"/>
      <w:numFmt w:val="lowerLetter"/>
      <w:lvlText w:val="%5."/>
      <w:lvlJc w:val="left"/>
      <w:pPr>
        <w:ind w:left="3600" w:hanging="360"/>
      </w:pPr>
    </w:lvl>
    <w:lvl w:ilvl="5" w:tplc="2E028C9A" w:tentative="1">
      <w:start w:val="1"/>
      <w:numFmt w:val="lowerRoman"/>
      <w:lvlText w:val="%6."/>
      <w:lvlJc w:val="right"/>
      <w:pPr>
        <w:ind w:left="4320" w:hanging="180"/>
      </w:pPr>
    </w:lvl>
    <w:lvl w:ilvl="6" w:tplc="999678AE" w:tentative="1">
      <w:start w:val="1"/>
      <w:numFmt w:val="decimal"/>
      <w:lvlText w:val="%7."/>
      <w:lvlJc w:val="left"/>
      <w:pPr>
        <w:ind w:left="5040" w:hanging="360"/>
      </w:pPr>
    </w:lvl>
    <w:lvl w:ilvl="7" w:tplc="220CB2A0" w:tentative="1">
      <w:start w:val="1"/>
      <w:numFmt w:val="lowerLetter"/>
      <w:lvlText w:val="%8."/>
      <w:lvlJc w:val="left"/>
      <w:pPr>
        <w:ind w:left="5760" w:hanging="360"/>
      </w:pPr>
    </w:lvl>
    <w:lvl w:ilvl="8" w:tplc="2348017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F7955B1"/>
    <w:multiLevelType w:val="hybridMultilevel"/>
    <w:tmpl w:val="699E6B88"/>
    <w:lvl w:ilvl="0" w:tplc="2446D4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202F7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D88E458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D048D0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DF0473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04A43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BA4726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A20CF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CC32568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8207F5"/>
    <w:multiLevelType w:val="hybridMultilevel"/>
    <w:tmpl w:val="D32E1AFC"/>
    <w:lvl w:ilvl="0" w:tplc="C8C60582">
      <w:start w:val="1"/>
      <w:numFmt w:val="decimal"/>
      <w:lvlText w:val="%1."/>
      <w:lvlJc w:val="left"/>
      <w:pPr>
        <w:ind w:left="720" w:hanging="360"/>
      </w:pPr>
    </w:lvl>
    <w:lvl w:ilvl="1" w:tplc="C40EDBA8" w:tentative="1">
      <w:start w:val="1"/>
      <w:numFmt w:val="lowerLetter"/>
      <w:lvlText w:val="%2."/>
      <w:lvlJc w:val="left"/>
      <w:pPr>
        <w:ind w:left="1440" w:hanging="360"/>
      </w:pPr>
    </w:lvl>
    <w:lvl w:ilvl="2" w:tplc="57B633BC" w:tentative="1">
      <w:start w:val="1"/>
      <w:numFmt w:val="lowerRoman"/>
      <w:lvlText w:val="%3."/>
      <w:lvlJc w:val="right"/>
      <w:pPr>
        <w:ind w:left="2160" w:hanging="180"/>
      </w:pPr>
    </w:lvl>
    <w:lvl w:ilvl="3" w:tplc="0C522456" w:tentative="1">
      <w:start w:val="1"/>
      <w:numFmt w:val="decimal"/>
      <w:lvlText w:val="%4."/>
      <w:lvlJc w:val="left"/>
      <w:pPr>
        <w:ind w:left="2880" w:hanging="360"/>
      </w:pPr>
    </w:lvl>
    <w:lvl w:ilvl="4" w:tplc="4CBAD832" w:tentative="1">
      <w:start w:val="1"/>
      <w:numFmt w:val="lowerLetter"/>
      <w:lvlText w:val="%5."/>
      <w:lvlJc w:val="left"/>
      <w:pPr>
        <w:ind w:left="3600" w:hanging="360"/>
      </w:pPr>
    </w:lvl>
    <w:lvl w:ilvl="5" w:tplc="B63228BC" w:tentative="1">
      <w:start w:val="1"/>
      <w:numFmt w:val="lowerRoman"/>
      <w:lvlText w:val="%6."/>
      <w:lvlJc w:val="right"/>
      <w:pPr>
        <w:ind w:left="4320" w:hanging="180"/>
      </w:pPr>
    </w:lvl>
    <w:lvl w:ilvl="6" w:tplc="04E41DDC" w:tentative="1">
      <w:start w:val="1"/>
      <w:numFmt w:val="decimal"/>
      <w:lvlText w:val="%7."/>
      <w:lvlJc w:val="left"/>
      <w:pPr>
        <w:ind w:left="5040" w:hanging="360"/>
      </w:pPr>
    </w:lvl>
    <w:lvl w:ilvl="7" w:tplc="03844CBC" w:tentative="1">
      <w:start w:val="1"/>
      <w:numFmt w:val="lowerLetter"/>
      <w:lvlText w:val="%8."/>
      <w:lvlJc w:val="left"/>
      <w:pPr>
        <w:ind w:left="5760" w:hanging="360"/>
      </w:pPr>
    </w:lvl>
    <w:lvl w:ilvl="8" w:tplc="3FFE43B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C2D2434"/>
    <w:multiLevelType w:val="multilevel"/>
    <w:tmpl w:val="68E8E43A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B4F54" w:themeColor="accent2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1F6D447A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 w15:restartNumberingAfterBreak="0">
    <w:nsid w:val="2DC766B7"/>
    <w:multiLevelType w:val="hybridMultilevel"/>
    <w:tmpl w:val="A43E82FC"/>
    <w:lvl w:ilvl="0" w:tplc="21AAE67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0208DE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73C56B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458B65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AEEA03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ED801E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51866F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D49B2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92028B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0BD0672"/>
    <w:multiLevelType w:val="hybridMultilevel"/>
    <w:tmpl w:val="E92A94B8"/>
    <w:lvl w:ilvl="0" w:tplc="E08AD0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30EA3E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9C7CD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34EE48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E587E0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E6AD0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6B8320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EEC81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1E9F4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9F5C34"/>
    <w:multiLevelType w:val="hybridMultilevel"/>
    <w:tmpl w:val="9076A6E0"/>
    <w:lvl w:ilvl="0" w:tplc="097ADD30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9A3324" w:themeColor="accent3"/>
      </w:rPr>
    </w:lvl>
    <w:lvl w:ilvl="1" w:tplc="1414B60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  <w:color w:val="007680" w:themeColor="accent1"/>
      </w:rPr>
    </w:lvl>
    <w:lvl w:ilvl="2" w:tplc="A42249A6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C11852D6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C2ED0F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19C8B6E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70FCF6EC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40AE398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A1EAC5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39780151"/>
    <w:multiLevelType w:val="hybridMultilevel"/>
    <w:tmpl w:val="3E78E906"/>
    <w:lvl w:ilvl="0" w:tplc="2FC6251E">
      <w:start w:val="1"/>
      <w:numFmt w:val="decimal"/>
      <w:lvlText w:val="%1."/>
      <w:lvlJc w:val="left"/>
      <w:pPr>
        <w:ind w:left="360" w:hanging="360"/>
      </w:pPr>
    </w:lvl>
    <w:lvl w:ilvl="1" w:tplc="6AD6083A" w:tentative="1">
      <w:start w:val="1"/>
      <w:numFmt w:val="lowerLetter"/>
      <w:lvlText w:val="%2."/>
      <w:lvlJc w:val="left"/>
      <w:pPr>
        <w:ind w:left="1080" w:hanging="360"/>
      </w:pPr>
    </w:lvl>
    <w:lvl w:ilvl="2" w:tplc="E93C2214" w:tentative="1">
      <w:start w:val="1"/>
      <w:numFmt w:val="lowerRoman"/>
      <w:lvlText w:val="%3."/>
      <w:lvlJc w:val="right"/>
      <w:pPr>
        <w:ind w:left="1800" w:hanging="180"/>
      </w:pPr>
    </w:lvl>
    <w:lvl w:ilvl="3" w:tplc="C2DCE5E6" w:tentative="1">
      <w:start w:val="1"/>
      <w:numFmt w:val="decimal"/>
      <w:lvlText w:val="%4."/>
      <w:lvlJc w:val="left"/>
      <w:pPr>
        <w:ind w:left="2520" w:hanging="360"/>
      </w:pPr>
    </w:lvl>
    <w:lvl w:ilvl="4" w:tplc="4CCCBAAE" w:tentative="1">
      <w:start w:val="1"/>
      <w:numFmt w:val="lowerLetter"/>
      <w:lvlText w:val="%5."/>
      <w:lvlJc w:val="left"/>
      <w:pPr>
        <w:ind w:left="3240" w:hanging="360"/>
      </w:pPr>
    </w:lvl>
    <w:lvl w:ilvl="5" w:tplc="54FA8238" w:tentative="1">
      <w:start w:val="1"/>
      <w:numFmt w:val="lowerRoman"/>
      <w:lvlText w:val="%6."/>
      <w:lvlJc w:val="right"/>
      <w:pPr>
        <w:ind w:left="3960" w:hanging="180"/>
      </w:pPr>
    </w:lvl>
    <w:lvl w:ilvl="6" w:tplc="1FEE46A8" w:tentative="1">
      <w:start w:val="1"/>
      <w:numFmt w:val="decimal"/>
      <w:lvlText w:val="%7."/>
      <w:lvlJc w:val="left"/>
      <w:pPr>
        <w:ind w:left="4680" w:hanging="360"/>
      </w:pPr>
    </w:lvl>
    <w:lvl w:ilvl="7" w:tplc="27F2CA86" w:tentative="1">
      <w:start w:val="1"/>
      <w:numFmt w:val="lowerLetter"/>
      <w:lvlText w:val="%8."/>
      <w:lvlJc w:val="left"/>
      <w:pPr>
        <w:ind w:left="5400" w:hanging="360"/>
      </w:pPr>
    </w:lvl>
    <w:lvl w:ilvl="8" w:tplc="03C88AF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B4E64D0"/>
    <w:multiLevelType w:val="hybridMultilevel"/>
    <w:tmpl w:val="9DF68D5C"/>
    <w:lvl w:ilvl="0" w:tplc="21A4DD4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EA778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BC745BF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5B3C6DC0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6B0AF16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5CBE4A0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DE2D97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61BE212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B85AFFDC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763589C"/>
    <w:multiLevelType w:val="hybridMultilevel"/>
    <w:tmpl w:val="8758BB62"/>
    <w:lvl w:ilvl="0" w:tplc="3BE88C4E">
      <w:start w:val="1"/>
      <w:numFmt w:val="decimal"/>
      <w:lvlText w:val="%1."/>
      <w:lvlJc w:val="left"/>
      <w:pPr>
        <w:ind w:left="360" w:hanging="360"/>
      </w:pPr>
    </w:lvl>
    <w:lvl w:ilvl="1" w:tplc="F7E6DC30" w:tentative="1">
      <w:start w:val="1"/>
      <w:numFmt w:val="lowerLetter"/>
      <w:lvlText w:val="%2."/>
      <w:lvlJc w:val="left"/>
      <w:pPr>
        <w:ind w:left="1080" w:hanging="360"/>
      </w:pPr>
    </w:lvl>
    <w:lvl w:ilvl="2" w:tplc="B0CAB7F0" w:tentative="1">
      <w:start w:val="1"/>
      <w:numFmt w:val="lowerRoman"/>
      <w:lvlText w:val="%3."/>
      <w:lvlJc w:val="right"/>
      <w:pPr>
        <w:ind w:left="1800" w:hanging="180"/>
      </w:pPr>
    </w:lvl>
    <w:lvl w:ilvl="3" w:tplc="14B479EC" w:tentative="1">
      <w:start w:val="1"/>
      <w:numFmt w:val="decimal"/>
      <w:lvlText w:val="%4."/>
      <w:lvlJc w:val="left"/>
      <w:pPr>
        <w:ind w:left="2520" w:hanging="360"/>
      </w:pPr>
    </w:lvl>
    <w:lvl w:ilvl="4" w:tplc="D22EE8A8" w:tentative="1">
      <w:start w:val="1"/>
      <w:numFmt w:val="lowerLetter"/>
      <w:lvlText w:val="%5."/>
      <w:lvlJc w:val="left"/>
      <w:pPr>
        <w:ind w:left="3240" w:hanging="360"/>
      </w:pPr>
    </w:lvl>
    <w:lvl w:ilvl="5" w:tplc="3B3247B6" w:tentative="1">
      <w:start w:val="1"/>
      <w:numFmt w:val="lowerRoman"/>
      <w:lvlText w:val="%6."/>
      <w:lvlJc w:val="right"/>
      <w:pPr>
        <w:ind w:left="3960" w:hanging="180"/>
      </w:pPr>
    </w:lvl>
    <w:lvl w:ilvl="6" w:tplc="98DEECE4" w:tentative="1">
      <w:start w:val="1"/>
      <w:numFmt w:val="decimal"/>
      <w:lvlText w:val="%7."/>
      <w:lvlJc w:val="left"/>
      <w:pPr>
        <w:ind w:left="4680" w:hanging="360"/>
      </w:pPr>
    </w:lvl>
    <w:lvl w:ilvl="7" w:tplc="80E094C0" w:tentative="1">
      <w:start w:val="1"/>
      <w:numFmt w:val="lowerLetter"/>
      <w:lvlText w:val="%8."/>
      <w:lvlJc w:val="left"/>
      <w:pPr>
        <w:ind w:left="5400" w:hanging="360"/>
      </w:pPr>
    </w:lvl>
    <w:lvl w:ilvl="8" w:tplc="26C24E72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4475D45"/>
    <w:multiLevelType w:val="hybridMultilevel"/>
    <w:tmpl w:val="CBC4C7EE"/>
    <w:lvl w:ilvl="0" w:tplc="576C55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F20C502C" w:tentative="1">
      <w:start w:val="1"/>
      <w:numFmt w:val="lowerLetter"/>
      <w:lvlText w:val="%2."/>
      <w:lvlJc w:val="left"/>
      <w:pPr>
        <w:ind w:left="1440" w:hanging="360"/>
      </w:pPr>
    </w:lvl>
    <w:lvl w:ilvl="2" w:tplc="3CA28AC6" w:tentative="1">
      <w:start w:val="1"/>
      <w:numFmt w:val="lowerRoman"/>
      <w:lvlText w:val="%3."/>
      <w:lvlJc w:val="right"/>
      <w:pPr>
        <w:ind w:left="2160" w:hanging="180"/>
      </w:pPr>
    </w:lvl>
    <w:lvl w:ilvl="3" w:tplc="48100C8E" w:tentative="1">
      <w:start w:val="1"/>
      <w:numFmt w:val="decimal"/>
      <w:lvlText w:val="%4."/>
      <w:lvlJc w:val="left"/>
      <w:pPr>
        <w:ind w:left="2880" w:hanging="360"/>
      </w:pPr>
    </w:lvl>
    <w:lvl w:ilvl="4" w:tplc="00EE0ACE" w:tentative="1">
      <w:start w:val="1"/>
      <w:numFmt w:val="lowerLetter"/>
      <w:lvlText w:val="%5."/>
      <w:lvlJc w:val="left"/>
      <w:pPr>
        <w:ind w:left="3600" w:hanging="360"/>
      </w:pPr>
    </w:lvl>
    <w:lvl w:ilvl="5" w:tplc="C9323594" w:tentative="1">
      <w:start w:val="1"/>
      <w:numFmt w:val="lowerRoman"/>
      <w:lvlText w:val="%6."/>
      <w:lvlJc w:val="right"/>
      <w:pPr>
        <w:ind w:left="4320" w:hanging="180"/>
      </w:pPr>
    </w:lvl>
    <w:lvl w:ilvl="6" w:tplc="B4FE029E" w:tentative="1">
      <w:start w:val="1"/>
      <w:numFmt w:val="decimal"/>
      <w:lvlText w:val="%7."/>
      <w:lvlJc w:val="left"/>
      <w:pPr>
        <w:ind w:left="5040" w:hanging="360"/>
      </w:pPr>
    </w:lvl>
    <w:lvl w:ilvl="7" w:tplc="BDFAD3BC" w:tentative="1">
      <w:start w:val="1"/>
      <w:numFmt w:val="lowerLetter"/>
      <w:lvlText w:val="%8."/>
      <w:lvlJc w:val="left"/>
      <w:pPr>
        <w:ind w:left="5760" w:hanging="360"/>
      </w:pPr>
    </w:lvl>
    <w:lvl w:ilvl="8" w:tplc="950673F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8D0A30"/>
    <w:multiLevelType w:val="hybridMultilevel"/>
    <w:tmpl w:val="FE08072A"/>
    <w:lvl w:ilvl="0" w:tplc="62E0921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43E61F0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42032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DA88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428C1D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60CD34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450650E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25E9EEA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22C34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FD77D01"/>
    <w:multiLevelType w:val="hybridMultilevel"/>
    <w:tmpl w:val="D44AAEBC"/>
    <w:lvl w:ilvl="0" w:tplc="2FD4580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8C63C54" w:tentative="1">
      <w:start w:val="1"/>
      <w:numFmt w:val="lowerLetter"/>
      <w:lvlText w:val="%2."/>
      <w:lvlJc w:val="left"/>
      <w:pPr>
        <w:ind w:left="1080" w:hanging="360"/>
      </w:pPr>
    </w:lvl>
    <w:lvl w:ilvl="2" w:tplc="D9DEC66A" w:tentative="1">
      <w:start w:val="1"/>
      <w:numFmt w:val="lowerRoman"/>
      <w:lvlText w:val="%3."/>
      <w:lvlJc w:val="right"/>
      <w:pPr>
        <w:ind w:left="1800" w:hanging="180"/>
      </w:pPr>
    </w:lvl>
    <w:lvl w:ilvl="3" w:tplc="745A06D8" w:tentative="1">
      <w:start w:val="1"/>
      <w:numFmt w:val="decimal"/>
      <w:lvlText w:val="%4."/>
      <w:lvlJc w:val="left"/>
      <w:pPr>
        <w:ind w:left="2520" w:hanging="360"/>
      </w:pPr>
    </w:lvl>
    <w:lvl w:ilvl="4" w:tplc="D3E23FB4" w:tentative="1">
      <w:start w:val="1"/>
      <w:numFmt w:val="lowerLetter"/>
      <w:lvlText w:val="%5."/>
      <w:lvlJc w:val="left"/>
      <w:pPr>
        <w:ind w:left="3240" w:hanging="360"/>
      </w:pPr>
    </w:lvl>
    <w:lvl w:ilvl="5" w:tplc="2B8CE67C" w:tentative="1">
      <w:start w:val="1"/>
      <w:numFmt w:val="lowerRoman"/>
      <w:lvlText w:val="%6."/>
      <w:lvlJc w:val="right"/>
      <w:pPr>
        <w:ind w:left="3960" w:hanging="180"/>
      </w:pPr>
    </w:lvl>
    <w:lvl w:ilvl="6" w:tplc="ACB2D6BC" w:tentative="1">
      <w:start w:val="1"/>
      <w:numFmt w:val="decimal"/>
      <w:lvlText w:val="%7."/>
      <w:lvlJc w:val="left"/>
      <w:pPr>
        <w:ind w:left="4680" w:hanging="360"/>
      </w:pPr>
    </w:lvl>
    <w:lvl w:ilvl="7" w:tplc="765ACDCC" w:tentative="1">
      <w:start w:val="1"/>
      <w:numFmt w:val="lowerLetter"/>
      <w:lvlText w:val="%8."/>
      <w:lvlJc w:val="left"/>
      <w:pPr>
        <w:ind w:left="5400" w:hanging="360"/>
      </w:pPr>
    </w:lvl>
    <w:lvl w:ilvl="8" w:tplc="8B407C5C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5640935"/>
    <w:multiLevelType w:val="hybridMultilevel"/>
    <w:tmpl w:val="E53CD7A4"/>
    <w:lvl w:ilvl="0" w:tplc="9B44EBA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843ED22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5A8454E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54AD848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BA587778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B3DA1E80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65A2220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80A48AB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6A6C2B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5BE72B8"/>
    <w:multiLevelType w:val="hybridMultilevel"/>
    <w:tmpl w:val="998CFDD6"/>
    <w:lvl w:ilvl="0" w:tplc="40E859B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0229896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FF4556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09C2C64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B098A2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30075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5E02C6C4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EFDA259E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9E1E860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6187AD6"/>
    <w:multiLevelType w:val="hybridMultilevel"/>
    <w:tmpl w:val="FFDAD9E0"/>
    <w:lvl w:ilvl="0" w:tplc="51163CF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9CF25EB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9D6CE510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936693E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D7698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B0A4984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C2862930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A2508556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A09297A4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86B1CB2"/>
    <w:multiLevelType w:val="hybridMultilevel"/>
    <w:tmpl w:val="FD94B370"/>
    <w:lvl w:ilvl="0" w:tplc="C0B21FC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7608F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0A276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E70D35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24E490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0742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8E0A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FE81B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BBC4FFD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4516F2"/>
    <w:multiLevelType w:val="hybridMultilevel"/>
    <w:tmpl w:val="8A46FF62"/>
    <w:lvl w:ilvl="0" w:tplc="A93A9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1A8A74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7868A28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DF44A4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B5A529E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B28468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EE3AC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4066DB0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676E722C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D53584"/>
    <w:multiLevelType w:val="hybridMultilevel"/>
    <w:tmpl w:val="78221354"/>
    <w:lvl w:ilvl="0" w:tplc="7CAE88C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D04201C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50843636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32E55CC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A36029E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CF58EF18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EFB0B85E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DB4A1F0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DD80003A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2DC33F0"/>
    <w:multiLevelType w:val="hybridMultilevel"/>
    <w:tmpl w:val="7C8EFA30"/>
    <w:lvl w:ilvl="0" w:tplc="D8CA4F7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F42CD2E4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3ACD728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A0905A76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D10C2F40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6FE9A1A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32E669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72EB584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E8E6320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7FBB0E8E"/>
    <w:multiLevelType w:val="hybridMultilevel"/>
    <w:tmpl w:val="441C7286"/>
    <w:lvl w:ilvl="0" w:tplc="F822D440">
      <w:start w:val="1"/>
      <w:numFmt w:val="decimal"/>
      <w:lvlText w:val="%1."/>
      <w:lvlJc w:val="left"/>
      <w:pPr>
        <w:ind w:left="360" w:hanging="360"/>
      </w:pPr>
    </w:lvl>
    <w:lvl w:ilvl="1" w:tplc="4F0CE71E" w:tentative="1">
      <w:start w:val="1"/>
      <w:numFmt w:val="lowerLetter"/>
      <w:lvlText w:val="%2."/>
      <w:lvlJc w:val="left"/>
      <w:pPr>
        <w:ind w:left="1080" w:hanging="360"/>
      </w:pPr>
    </w:lvl>
    <w:lvl w:ilvl="2" w:tplc="0FC8DEE6" w:tentative="1">
      <w:start w:val="1"/>
      <w:numFmt w:val="lowerRoman"/>
      <w:lvlText w:val="%3."/>
      <w:lvlJc w:val="right"/>
      <w:pPr>
        <w:ind w:left="1800" w:hanging="180"/>
      </w:pPr>
    </w:lvl>
    <w:lvl w:ilvl="3" w:tplc="9C48FFDA" w:tentative="1">
      <w:start w:val="1"/>
      <w:numFmt w:val="decimal"/>
      <w:lvlText w:val="%4."/>
      <w:lvlJc w:val="left"/>
      <w:pPr>
        <w:ind w:left="2520" w:hanging="360"/>
      </w:pPr>
    </w:lvl>
    <w:lvl w:ilvl="4" w:tplc="E48EDB94" w:tentative="1">
      <w:start w:val="1"/>
      <w:numFmt w:val="lowerLetter"/>
      <w:lvlText w:val="%5."/>
      <w:lvlJc w:val="left"/>
      <w:pPr>
        <w:ind w:left="3240" w:hanging="360"/>
      </w:pPr>
    </w:lvl>
    <w:lvl w:ilvl="5" w:tplc="71428354" w:tentative="1">
      <w:start w:val="1"/>
      <w:numFmt w:val="lowerRoman"/>
      <w:lvlText w:val="%6."/>
      <w:lvlJc w:val="right"/>
      <w:pPr>
        <w:ind w:left="3960" w:hanging="180"/>
      </w:pPr>
    </w:lvl>
    <w:lvl w:ilvl="6" w:tplc="BABC5BFE" w:tentative="1">
      <w:start w:val="1"/>
      <w:numFmt w:val="decimal"/>
      <w:lvlText w:val="%7."/>
      <w:lvlJc w:val="left"/>
      <w:pPr>
        <w:ind w:left="4680" w:hanging="360"/>
      </w:pPr>
    </w:lvl>
    <w:lvl w:ilvl="7" w:tplc="8226678A" w:tentative="1">
      <w:start w:val="1"/>
      <w:numFmt w:val="lowerLetter"/>
      <w:lvlText w:val="%8."/>
      <w:lvlJc w:val="left"/>
      <w:pPr>
        <w:ind w:left="5400" w:hanging="360"/>
      </w:pPr>
    </w:lvl>
    <w:lvl w:ilvl="8" w:tplc="9B5A4354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14"/>
  </w:num>
  <w:num w:numId="3">
    <w:abstractNumId w:val="13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8"/>
  </w:num>
  <w:num w:numId="9">
    <w:abstractNumId w:val="4"/>
  </w:num>
  <w:num w:numId="10">
    <w:abstractNumId w:val="5"/>
  </w:num>
  <w:num w:numId="11">
    <w:abstractNumId w:val="6"/>
  </w:num>
  <w:num w:numId="12">
    <w:abstractNumId w:val="7"/>
  </w:num>
  <w:num w:numId="13">
    <w:abstractNumId w:val="9"/>
  </w:num>
  <w:num w:numId="14">
    <w:abstractNumId w:val="24"/>
  </w:num>
  <w:num w:numId="15">
    <w:abstractNumId w:val="17"/>
    <w:lvlOverride w:ilvl="0">
      <w:startOverride w:val="1"/>
    </w:lvlOverride>
  </w:num>
  <w:num w:numId="16">
    <w:abstractNumId w:val="31"/>
  </w:num>
  <w:num w:numId="17">
    <w:abstractNumId w:val="20"/>
  </w:num>
  <w:num w:numId="18">
    <w:abstractNumId w:val="18"/>
  </w:num>
  <w:num w:numId="19">
    <w:abstractNumId w:val="11"/>
  </w:num>
  <w:num w:numId="20">
    <w:abstractNumId w:val="23"/>
  </w:num>
  <w:num w:numId="21">
    <w:abstractNumId w:val="27"/>
  </w:num>
  <w:num w:numId="22">
    <w:abstractNumId w:val="16"/>
  </w:num>
  <w:num w:numId="23">
    <w:abstractNumId w:val="29"/>
  </w:num>
  <w:num w:numId="24">
    <w:abstractNumId w:val="28"/>
  </w:num>
  <w:num w:numId="25">
    <w:abstractNumId w:val="21"/>
  </w:num>
  <w:num w:numId="26">
    <w:abstractNumId w:val="30"/>
  </w:num>
  <w:num w:numId="27">
    <w:abstractNumId w:val="26"/>
  </w:num>
  <w:num w:numId="28">
    <w:abstractNumId w:val="15"/>
  </w:num>
  <w:num w:numId="29">
    <w:abstractNumId w:val="25"/>
  </w:num>
  <w:num w:numId="30">
    <w:abstractNumId w:val="22"/>
  </w:num>
  <w:num w:numId="31">
    <w:abstractNumId w:val="19"/>
  </w:num>
  <w:num w:numId="32">
    <w:abstractNumId w:val="12"/>
  </w:num>
  <w:num w:numId="3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175"/>
    <w:rsid w:val="00012F29"/>
    <w:rsid w:val="00024A0A"/>
    <w:rsid w:val="00025C07"/>
    <w:rsid w:val="00035356"/>
    <w:rsid w:val="00050DD3"/>
    <w:rsid w:val="00074412"/>
    <w:rsid w:val="000753B2"/>
    <w:rsid w:val="00092222"/>
    <w:rsid w:val="000A36A1"/>
    <w:rsid w:val="000A3EA6"/>
    <w:rsid w:val="000A47F0"/>
    <w:rsid w:val="000B3514"/>
    <w:rsid w:val="000C47A0"/>
    <w:rsid w:val="000F0E52"/>
    <w:rsid w:val="000F481B"/>
    <w:rsid w:val="000F7869"/>
    <w:rsid w:val="0011497D"/>
    <w:rsid w:val="00124147"/>
    <w:rsid w:val="001604CE"/>
    <w:rsid w:val="001675B9"/>
    <w:rsid w:val="0017084C"/>
    <w:rsid w:val="001D484A"/>
    <w:rsid w:val="0023602E"/>
    <w:rsid w:val="00255259"/>
    <w:rsid w:val="002802DD"/>
    <w:rsid w:val="002B22B4"/>
    <w:rsid w:val="002B2420"/>
    <w:rsid w:val="002B3808"/>
    <w:rsid w:val="002C0E3C"/>
    <w:rsid w:val="002E36F9"/>
    <w:rsid w:val="002E69C0"/>
    <w:rsid w:val="002F2EB0"/>
    <w:rsid w:val="002F5F6D"/>
    <w:rsid w:val="00317045"/>
    <w:rsid w:val="0033159A"/>
    <w:rsid w:val="003320B2"/>
    <w:rsid w:val="0033590E"/>
    <w:rsid w:val="003572A0"/>
    <w:rsid w:val="003635E3"/>
    <w:rsid w:val="0037540D"/>
    <w:rsid w:val="00392375"/>
    <w:rsid w:val="003977E7"/>
    <w:rsid w:val="003A03D0"/>
    <w:rsid w:val="003E0E18"/>
    <w:rsid w:val="0041510E"/>
    <w:rsid w:val="00441491"/>
    <w:rsid w:val="00441AB3"/>
    <w:rsid w:val="0045129C"/>
    <w:rsid w:val="00455437"/>
    <w:rsid w:val="004575EC"/>
    <w:rsid w:val="004604BF"/>
    <w:rsid w:val="00460ED5"/>
    <w:rsid w:val="00467661"/>
    <w:rsid w:val="0047098E"/>
    <w:rsid w:val="00472F90"/>
    <w:rsid w:val="00485B4F"/>
    <w:rsid w:val="004F1666"/>
    <w:rsid w:val="00511623"/>
    <w:rsid w:val="0053087F"/>
    <w:rsid w:val="0053240E"/>
    <w:rsid w:val="00535DC4"/>
    <w:rsid w:val="005406B1"/>
    <w:rsid w:val="005449DD"/>
    <w:rsid w:val="005713B3"/>
    <w:rsid w:val="005827DC"/>
    <w:rsid w:val="005A57F7"/>
    <w:rsid w:val="005A57FC"/>
    <w:rsid w:val="005A6F77"/>
    <w:rsid w:val="005B0CC1"/>
    <w:rsid w:val="005D6E35"/>
    <w:rsid w:val="005D7AA9"/>
    <w:rsid w:val="005F6A7C"/>
    <w:rsid w:val="00601080"/>
    <w:rsid w:val="00613FB2"/>
    <w:rsid w:val="00626917"/>
    <w:rsid w:val="00654037"/>
    <w:rsid w:val="006621DF"/>
    <w:rsid w:val="00670E6C"/>
    <w:rsid w:val="00693C2B"/>
    <w:rsid w:val="006C2EAF"/>
    <w:rsid w:val="006C74A4"/>
    <w:rsid w:val="00713C89"/>
    <w:rsid w:val="00714C20"/>
    <w:rsid w:val="00721E45"/>
    <w:rsid w:val="007511BC"/>
    <w:rsid w:val="007775DE"/>
    <w:rsid w:val="00794DB2"/>
    <w:rsid w:val="007A2F08"/>
    <w:rsid w:val="007A38D9"/>
    <w:rsid w:val="007A7C19"/>
    <w:rsid w:val="007D0550"/>
    <w:rsid w:val="007F0175"/>
    <w:rsid w:val="0080250F"/>
    <w:rsid w:val="00813420"/>
    <w:rsid w:val="00816539"/>
    <w:rsid w:val="00832875"/>
    <w:rsid w:val="008904C2"/>
    <w:rsid w:val="00897B17"/>
    <w:rsid w:val="008C2410"/>
    <w:rsid w:val="008F5393"/>
    <w:rsid w:val="009019E1"/>
    <w:rsid w:val="00916231"/>
    <w:rsid w:val="0093023E"/>
    <w:rsid w:val="00931C45"/>
    <w:rsid w:val="00934C0D"/>
    <w:rsid w:val="0095449F"/>
    <w:rsid w:val="00954AF9"/>
    <w:rsid w:val="00954CD6"/>
    <w:rsid w:val="00965183"/>
    <w:rsid w:val="009733A1"/>
    <w:rsid w:val="009801B5"/>
    <w:rsid w:val="00980FFB"/>
    <w:rsid w:val="0099230A"/>
    <w:rsid w:val="009948D2"/>
    <w:rsid w:val="00995F49"/>
    <w:rsid w:val="009A26B1"/>
    <w:rsid w:val="009B1534"/>
    <w:rsid w:val="009B20CD"/>
    <w:rsid w:val="009B5752"/>
    <w:rsid w:val="009C4159"/>
    <w:rsid w:val="009C45AF"/>
    <w:rsid w:val="009D68C7"/>
    <w:rsid w:val="00A10F1C"/>
    <w:rsid w:val="00A36EA6"/>
    <w:rsid w:val="00A4377F"/>
    <w:rsid w:val="00A81CA1"/>
    <w:rsid w:val="00A85F82"/>
    <w:rsid w:val="00AC0E4C"/>
    <w:rsid w:val="00AE0AF1"/>
    <w:rsid w:val="00AE4FB7"/>
    <w:rsid w:val="00AF2D83"/>
    <w:rsid w:val="00B0182E"/>
    <w:rsid w:val="00B327BB"/>
    <w:rsid w:val="00B6799A"/>
    <w:rsid w:val="00B70AE2"/>
    <w:rsid w:val="00B80CD4"/>
    <w:rsid w:val="00B86D85"/>
    <w:rsid w:val="00B90031"/>
    <w:rsid w:val="00BA77F2"/>
    <w:rsid w:val="00BC3270"/>
    <w:rsid w:val="00BC74A1"/>
    <w:rsid w:val="00BC796F"/>
    <w:rsid w:val="00BE2FD1"/>
    <w:rsid w:val="00C05470"/>
    <w:rsid w:val="00C1092A"/>
    <w:rsid w:val="00C10EE1"/>
    <w:rsid w:val="00C11BB5"/>
    <w:rsid w:val="00C12633"/>
    <w:rsid w:val="00C15205"/>
    <w:rsid w:val="00C20F41"/>
    <w:rsid w:val="00C24518"/>
    <w:rsid w:val="00C31041"/>
    <w:rsid w:val="00C808EB"/>
    <w:rsid w:val="00C829F3"/>
    <w:rsid w:val="00C86E80"/>
    <w:rsid w:val="00C86F18"/>
    <w:rsid w:val="00C96911"/>
    <w:rsid w:val="00CA7C89"/>
    <w:rsid w:val="00CB5633"/>
    <w:rsid w:val="00CB643E"/>
    <w:rsid w:val="00CB73C0"/>
    <w:rsid w:val="00CC2C36"/>
    <w:rsid w:val="00CC68D4"/>
    <w:rsid w:val="00CE3091"/>
    <w:rsid w:val="00CE6073"/>
    <w:rsid w:val="00D07C5D"/>
    <w:rsid w:val="00D100D8"/>
    <w:rsid w:val="00D1164E"/>
    <w:rsid w:val="00D14EF1"/>
    <w:rsid w:val="00D57751"/>
    <w:rsid w:val="00D976BC"/>
    <w:rsid w:val="00DA09A4"/>
    <w:rsid w:val="00DB1AF9"/>
    <w:rsid w:val="00DC165C"/>
    <w:rsid w:val="00DE6127"/>
    <w:rsid w:val="00DE6CDE"/>
    <w:rsid w:val="00E14C9B"/>
    <w:rsid w:val="00E3510C"/>
    <w:rsid w:val="00E41865"/>
    <w:rsid w:val="00E61A58"/>
    <w:rsid w:val="00E66766"/>
    <w:rsid w:val="00E757B7"/>
    <w:rsid w:val="00E760BB"/>
    <w:rsid w:val="00E85CED"/>
    <w:rsid w:val="00EA5201"/>
    <w:rsid w:val="00EC4E55"/>
    <w:rsid w:val="00EE0E32"/>
    <w:rsid w:val="00EF4EE8"/>
    <w:rsid w:val="00F04B27"/>
    <w:rsid w:val="00F368FE"/>
    <w:rsid w:val="00F434C7"/>
    <w:rsid w:val="00F44AA3"/>
    <w:rsid w:val="00F614DD"/>
    <w:rsid w:val="00F833D0"/>
    <w:rsid w:val="00FB10BA"/>
    <w:rsid w:val="00FC5E4D"/>
    <w:rsid w:val="00FE0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44E5863-04BF-4554-A2DE-FBA6A5800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C20F41"/>
    <w:pPr>
      <w:spacing w:line="240" w:lineRule="auto"/>
    </w:pPr>
    <w:rPr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5D7AA9"/>
    <w:pPr>
      <w:keepNext/>
      <w:keepLines/>
      <w:spacing w:before="400" w:after="0"/>
      <w:outlineLvl w:val="0"/>
    </w:pPr>
    <w:rPr>
      <w:rFonts w:eastAsiaTheme="majorEastAsia" w:cstheme="minorHAnsi"/>
      <w:bCs/>
      <w:color w:val="003A5B" w:themeColor="text2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6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C165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9A3324" w:themeColor="accent3"/>
      <w:szCs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86D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FB10BA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b/>
      <w:color w:val="000000" w:themeColor="text1"/>
    </w:rPr>
  </w:style>
  <w:style w:type="paragraph" w:styleId="Heading6">
    <w:name w:val="heading 6"/>
    <w:basedOn w:val="Normal"/>
    <w:next w:val="Normal"/>
    <w:link w:val="Heading6Char"/>
    <w:uiPriority w:val="9"/>
    <w:unhideWhenUsed/>
    <w:rsid w:val="0017084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b/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7098E"/>
    <w:pPr>
      <w:tabs>
        <w:tab w:val="center" w:pos="4680"/>
        <w:tab w:val="right" w:pos="9360"/>
      </w:tabs>
      <w:spacing w:after="0"/>
    </w:pPr>
    <w:rPr>
      <w:color w:val="4B4F54" w:themeColor="accent2"/>
      <w:sz w:val="18"/>
    </w:rPr>
  </w:style>
  <w:style w:type="character" w:customStyle="1" w:styleId="HeaderChar">
    <w:name w:val="Header Char"/>
    <w:basedOn w:val="DefaultParagraphFont"/>
    <w:link w:val="Header"/>
    <w:uiPriority w:val="99"/>
    <w:rsid w:val="0047098E"/>
    <w:rPr>
      <w:color w:val="4B4F54" w:themeColor="accent2"/>
      <w:sz w:val="18"/>
    </w:rPr>
  </w:style>
  <w:style w:type="paragraph" w:styleId="Footer">
    <w:name w:val="footer"/>
    <w:basedOn w:val="Normal"/>
    <w:link w:val="FooterChar"/>
    <w:uiPriority w:val="99"/>
    <w:unhideWhenUsed/>
    <w:rsid w:val="0047098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47098E"/>
  </w:style>
  <w:style w:type="paragraph" w:styleId="BalloonText">
    <w:name w:val="Balloon Text"/>
    <w:basedOn w:val="Normal"/>
    <w:link w:val="BalloonTextChar"/>
    <w:uiPriority w:val="99"/>
    <w:semiHidden/>
    <w:unhideWhenUsed/>
    <w:rsid w:val="002802DD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2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5D7AA9"/>
    <w:rPr>
      <w:rFonts w:eastAsiaTheme="majorEastAsia" w:cstheme="minorHAnsi"/>
      <w:bCs/>
      <w:color w:val="003A5B" w:themeColor="text2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D976BC"/>
    <w:rPr>
      <w:rFonts w:asciiTheme="majorHAnsi" w:eastAsiaTheme="majorEastAsia" w:hAnsiTheme="majorHAnsi" w:cstheme="majorBidi"/>
      <w:b/>
      <w:bCs/>
      <w:color w:val="007680" w:themeColor="accent1"/>
      <w:sz w:val="24"/>
      <w:szCs w:val="26"/>
    </w:rPr>
  </w:style>
  <w:style w:type="paragraph" w:styleId="ListParagraph">
    <w:name w:val="List Paragraph"/>
    <w:basedOn w:val="Normal"/>
    <w:uiPriority w:val="34"/>
    <w:qFormat/>
    <w:rsid w:val="00C15205"/>
    <w:pPr>
      <w:numPr>
        <w:numId w:val="1"/>
      </w:numPr>
      <w:contextualSpacing/>
    </w:pPr>
  </w:style>
  <w:style w:type="paragraph" w:styleId="NormalWeb">
    <w:name w:val="Normal (Web)"/>
    <w:basedOn w:val="Normal"/>
    <w:uiPriority w:val="99"/>
    <w:unhideWhenUsed/>
    <w:rsid w:val="00CB73C0"/>
    <w:pPr>
      <w:spacing w:before="100" w:beforeAutospacing="1" w:after="100" w:afterAutospacing="1"/>
    </w:pPr>
    <w:rPr>
      <w:rFonts w:ascii="Times New Roman" w:eastAsia="Times New Roman" w:hAnsi="Times New Roman" w:cs="Times New Roman"/>
      <w:szCs w:val="24"/>
      <w:lang w:eastAsia="en-CA"/>
    </w:rPr>
  </w:style>
  <w:style w:type="character" w:customStyle="1" w:styleId="Heading3Char">
    <w:name w:val="Heading 3 Char"/>
    <w:basedOn w:val="DefaultParagraphFont"/>
    <w:link w:val="Heading3"/>
    <w:uiPriority w:val="9"/>
    <w:rsid w:val="00DC165C"/>
    <w:rPr>
      <w:rFonts w:asciiTheme="majorHAnsi" w:eastAsiaTheme="majorEastAsia" w:hAnsiTheme="majorHAnsi" w:cstheme="majorBidi"/>
      <w:b/>
      <w:bCs/>
      <w:color w:val="9A3324" w:themeColor="accent3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rsid w:val="00B86D85"/>
    <w:rPr>
      <w:rFonts w:asciiTheme="majorHAnsi" w:eastAsiaTheme="majorEastAsia" w:hAnsiTheme="majorHAnsi" w:cstheme="majorBidi"/>
      <w:b/>
      <w:bCs/>
      <w:iCs/>
      <w:caps/>
      <w:color w:val="003A5B" w:themeColor="text2"/>
      <w:sz w:val="18"/>
    </w:rPr>
  </w:style>
  <w:style w:type="character" w:customStyle="1" w:styleId="Heading5Char">
    <w:name w:val="Heading 5 Char"/>
    <w:basedOn w:val="DefaultParagraphFont"/>
    <w:link w:val="Heading5"/>
    <w:uiPriority w:val="9"/>
    <w:rsid w:val="00FB10BA"/>
    <w:rPr>
      <w:rFonts w:asciiTheme="majorHAnsi" w:eastAsiaTheme="majorEastAsia" w:hAnsiTheme="majorHAnsi" w:cstheme="majorBidi"/>
      <w:b/>
      <w:color w:val="000000" w:themeColor="text1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7084C"/>
    <w:rPr>
      <w:rFonts w:asciiTheme="majorHAnsi" w:eastAsiaTheme="majorEastAsia" w:hAnsiTheme="majorHAnsi" w:cstheme="majorBidi"/>
      <w:b/>
      <w:i/>
      <w:iCs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AE4FB7"/>
    <w:rPr>
      <w:b/>
      <w:noProof/>
      <w:color w:val="FFFFFF" w:themeColor="background1"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rsid w:val="00AE4FB7"/>
    <w:rPr>
      <w:b/>
      <w:noProof/>
      <w:color w:val="FFFFFF" w:themeColor="background1"/>
      <w:sz w:val="28"/>
      <w:szCs w:val="28"/>
    </w:rPr>
  </w:style>
  <w:style w:type="character" w:styleId="IntenseEmphasis">
    <w:name w:val="Intense Emphasis"/>
    <w:basedOn w:val="DefaultParagraphFont"/>
    <w:uiPriority w:val="21"/>
    <w:qFormat/>
    <w:rsid w:val="003A03D0"/>
    <w:rPr>
      <w:b/>
      <w:bCs/>
      <w:i/>
      <w:iCs/>
      <w:color w:val="007680" w:themeColor="accent1"/>
    </w:rPr>
  </w:style>
  <w:style w:type="character" w:styleId="Strong">
    <w:name w:val="Strong"/>
    <w:basedOn w:val="DefaultParagraphFont"/>
    <w:uiPriority w:val="22"/>
    <w:qFormat/>
    <w:rsid w:val="003A03D0"/>
    <w:rPr>
      <w:b/>
      <w:bCs/>
    </w:rPr>
  </w:style>
  <w:style w:type="table" w:styleId="TableGrid">
    <w:name w:val="Table Grid"/>
    <w:basedOn w:val="TableNormal"/>
    <w:uiPriority w:val="39"/>
    <w:rsid w:val="00D976B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976BC"/>
    <w:rPr>
      <w:color w:val="003B5C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A7C89"/>
    <w:rPr>
      <w:color w:val="007680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92222"/>
    <w:rPr>
      <w:color w:val="605E5C"/>
      <w:shd w:val="clear" w:color="auto" w:fill="E1DFDD"/>
    </w:rPr>
  </w:style>
  <w:style w:type="paragraph" w:customStyle="1" w:styleId="Normal1">
    <w:name w:val="Normal1"/>
    <w:rsid w:val="007775DE"/>
    <w:pPr>
      <w:spacing w:after="0" w:line="240" w:lineRule="auto"/>
    </w:pPr>
    <w:rPr>
      <w:rFonts w:ascii="Times" w:eastAsia="Times" w:hAnsi="Times" w:cs="Times"/>
      <w:sz w:val="24"/>
      <w:szCs w:val="24"/>
      <w:lang w:val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EC4E5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4E55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4E5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4E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4E5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239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oyalcollege.ca/mssites/casescenarios_fr/story_html5.html" TargetMode="External"/><Relationship Id="rId18" Type="http://schemas.openxmlformats.org/officeDocument/2006/relationships/hyperlink" Target="http://www.royalcollege.ca/rcsite/cbd/cbd-tools-resources-f" TargetMode="Externa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image" Target="media/image6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20" Type="http://schemas.openxmlformats.org/officeDocument/2006/relationships/hyperlink" Target="https://www.tandfonline.com/doi/abs/10.1080/0142159X.2018.1474191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royalcollege.ca/rcsite/documents/cbd/competence-committees-process-procedures-f" TargetMode="External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royalcollege.ca/rcsite/cbd/assessment/committees/competence-committees-status-recommendations-f" TargetMode="External"/><Relationship Id="rId23" Type="http://schemas.openxmlformats.org/officeDocument/2006/relationships/footer" Target="footer2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settings" Target="settings.xml"/><Relationship Id="rId9" Type="http://schemas.openxmlformats.org/officeDocument/2006/relationships/hyperlink" Target="http://www.royalcollege.ca/rcsite/documents/cbd/competence-committees-guidelines-for-terms-of-reference-f" TargetMode="External"/><Relationship Id="rId14" Type="http://schemas.openxmlformats.org/officeDocument/2006/relationships/image" Target="media/image4.png"/><Relationship Id="rId22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jpeg"/><Relationship Id="rId1" Type="http://schemas.openxmlformats.org/officeDocument/2006/relationships/image" Target="media/image9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urphy\Downloads\rc-briefing-note-template%20(1).dotx" TargetMode="External"/></Relationships>
</file>

<file path=word/theme/theme1.xml><?xml version="1.0" encoding="utf-8"?>
<a:theme xmlns:a="http://schemas.openxmlformats.org/drawingml/2006/main" name="RoyalCollege">
  <a:themeElements>
    <a:clrScheme name="Royal College">
      <a:dk1>
        <a:sysClr val="windowText" lastClr="000000"/>
      </a:dk1>
      <a:lt1>
        <a:srgbClr val="FFFFFF"/>
      </a:lt1>
      <a:dk2>
        <a:srgbClr val="003A5B"/>
      </a:dk2>
      <a:lt2>
        <a:srgbClr val="E7E6E6"/>
      </a:lt2>
      <a:accent1>
        <a:srgbClr val="007680"/>
      </a:accent1>
      <a:accent2>
        <a:srgbClr val="4B4F54"/>
      </a:accent2>
      <a:accent3>
        <a:srgbClr val="9A3324"/>
      </a:accent3>
      <a:accent4>
        <a:srgbClr val="FFCD00"/>
      </a:accent4>
      <a:accent5>
        <a:srgbClr val="00A3AD"/>
      </a:accent5>
      <a:accent6>
        <a:srgbClr val="671E75"/>
      </a:accent6>
      <a:hlink>
        <a:srgbClr val="003B5C"/>
      </a:hlink>
      <a:folHlink>
        <a:srgbClr val="007680"/>
      </a:folHlink>
    </a:clrScheme>
    <a:fontScheme name="Royal College">
      <a:majorFont>
        <a:latin typeface="Open Sans Bold"/>
        <a:ea typeface=""/>
        <a:cs typeface=""/>
      </a:majorFont>
      <a:minorFont>
        <a:latin typeface="Open San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F50EF1-FCD0-4E27-A3DB-ABEDE5E627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rc-briefing-note-template (1)</Template>
  <TotalTime>1</TotalTime>
  <Pages>3</Pages>
  <Words>668</Words>
  <Characters>3812</Characters>
  <Application>Microsoft Office Word</Application>
  <DocSecurity>4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Royal College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April</dc:creator>
  <cp:lastModifiedBy>Bourgeois, Ginette</cp:lastModifiedBy>
  <cp:revision>2</cp:revision>
  <cp:lastPrinted>2019-04-09T16:33:00Z</cp:lastPrinted>
  <dcterms:created xsi:type="dcterms:W3CDTF">2020-08-18T18:11:00Z</dcterms:created>
  <dcterms:modified xsi:type="dcterms:W3CDTF">2020-08-18T18:11:00Z</dcterms:modified>
</cp:coreProperties>
</file>