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FF02B9">
        <w:rPr>
          <w:sz w:val="52"/>
          <w:lang w:val="fr-CA"/>
        </w:rPr>
        <w:t>5</w:t>
      </w:r>
      <w:r w:rsidRPr="00B46140">
        <w:rPr>
          <w:sz w:val="52"/>
          <w:lang w:val="fr-CA"/>
        </w:rPr>
        <w:t xml:space="preserve"> – Réflexion dirigée</w:t>
      </w:r>
      <w:r w:rsidR="00FF02B9">
        <w:rPr>
          <w:sz w:val="52"/>
          <w:lang w:val="fr-CA"/>
        </w:rPr>
        <w:t xml:space="preserve"> et discussion</w:t>
      </w:r>
    </w:p>
    <w:p w:rsidR="002B03F8" w:rsidRDefault="00B46140" w:rsidP="006A4987">
      <w:pPr>
        <w:pStyle w:val="Subtitle"/>
        <w:rPr>
          <w:lang w:val="fr-CA"/>
        </w:rPr>
      </w:pPr>
      <w:r w:rsidRPr="00B46140">
        <w:rPr>
          <w:lang w:val="fr-CA"/>
        </w:rPr>
        <w:t xml:space="preserve">CanMEDS </w:t>
      </w:r>
      <w:r w:rsidR="00FF02B9">
        <w:rPr>
          <w:lang w:val="fr-CA"/>
        </w:rPr>
        <w:t>Collaborateur</w:t>
      </w:r>
    </w:p>
    <w:p w:rsidR="00FF02B9" w:rsidRPr="00FF02B9" w:rsidRDefault="00FF02B9" w:rsidP="00FF02B9">
      <w:pPr>
        <w:pStyle w:val="Heading2"/>
      </w:pPr>
      <w:r w:rsidRPr="00FF02B9">
        <w:t>Comprendre les rôles et responsabilités d’autrui</w:t>
      </w:r>
      <w:r w:rsidRPr="008B6971">
        <w:rPr>
          <w:rStyle w:val="EndnoteReference"/>
          <w:sz w:val="28"/>
          <w:szCs w:val="28"/>
        </w:rPr>
        <w:endnoteReference w:id="1"/>
      </w:r>
      <w:r w:rsidRPr="00FF02B9">
        <w:t xml:space="preserve"> </w:t>
      </w:r>
    </w:p>
    <w:p w:rsidR="00FF02B9" w:rsidRPr="00FF02B9" w:rsidRDefault="00FF02B9" w:rsidP="00FF02B9">
      <w:pPr>
        <w:rPr>
          <w:rStyle w:val="SubtleReference"/>
          <w:sz w:val="22"/>
          <w:lang w:val="fr-CA"/>
        </w:rPr>
      </w:pPr>
      <w:r w:rsidRPr="00FF02B9">
        <w:rPr>
          <w:rStyle w:val="SubtleReference"/>
          <w:sz w:val="22"/>
          <w:lang w:val="fr-CA"/>
        </w:rPr>
        <w:t xml:space="preserve">Le contenu ci-dessous, rédigé à l’origine par D. Richardson, D. Martin et S. Glover Takahashi sous la gouverne du Collège royal des médecins et chirurgiens du Canada, est adapté de la Trousse pour l'enseignement et l'évaluation du rôle CanMEDS de collaborateur. Vous pouvez utiliser, reproduire et modifier ce contenu à vos propres fins non commerciales, à condition d’indiquer clairement vos changements et de créditer le Collège royal. Ce dernier peut révoquer cette autorisation à tout moment, par écrit. </w:t>
      </w:r>
    </w:p>
    <w:p w:rsidR="00FF02B9" w:rsidRPr="00FF02B9" w:rsidRDefault="00FF02B9" w:rsidP="00FF02B9">
      <w:pPr>
        <w:rPr>
          <w:rStyle w:val="SubtleReference"/>
          <w:b/>
          <w:sz w:val="22"/>
        </w:rPr>
      </w:pPr>
      <w:r w:rsidRPr="00FF02B9">
        <w:rPr>
          <w:rStyle w:val="SubtleReference"/>
          <w:b/>
          <w:sz w:val="22"/>
          <w:lang w:val="fr-CA"/>
        </w:rPr>
        <w:t>REMARQUE : Le contenu ci-dessous peut avoir été modifié et ne plus représenter l’opinion ou le point de vue du Collège royal.</w:t>
      </w:r>
    </w:p>
    <w:p w:rsidR="00FF02B9" w:rsidRPr="00FF02B9" w:rsidRDefault="00FF02B9" w:rsidP="00FF02B9">
      <w:pPr>
        <w:rPr>
          <w:lang w:val="fr-CA"/>
        </w:rPr>
      </w:pPr>
      <w:r w:rsidRPr="00FF02B9">
        <w:rPr>
          <w:lang w:val="fr-CA"/>
        </w:rPr>
        <w:t>Pour travailler efficacement avec les autres médecins et professionnels de la santé, il faut comprendre et apprécier les rôles et responsabilités de chacun.  En effet, bon nombre des problèmes associés au « comment faire » de la collaboration découlent d’une mauvaise compréhension des rôles et responsabilités des autres professionnels. Cet exercice vise ainsi à cerner certaines lacunes en ce qui concerne la connaissance des fonctions des divers intervenants en soins de santé</w:t>
      </w:r>
    </w:p>
    <w:p w:rsidR="00FF02B9" w:rsidRPr="00FF02B9" w:rsidRDefault="00FF02B9" w:rsidP="00FF02B9">
      <w:pPr>
        <w:pStyle w:val="Heading3"/>
        <w:rPr>
          <w:color w:val="003A5B" w:themeColor="text2"/>
          <w:lang w:val="fr-CA"/>
        </w:rPr>
      </w:pPr>
      <w:r w:rsidRPr="00FF02B9">
        <w:rPr>
          <w:color w:val="003A5B" w:themeColor="text2"/>
          <w:lang w:val="fr-CA"/>
        </w:rPr>
        <w:t xml:space="preserve">Directives à l’intention des </w:t>
      </w:r>
      <w:proofErr w:type="gramStart"/>
      <w:r w:rsidRPr="00FF02B9">
        <w:rPr>
          <w:color w:val="003A5B" w:themeColor="text2"/>
          <w:lang w:val="fr-CA"/>
        </w:rPr>
        <w:t>apprenants  :</w:t>
      </w:r>
      <w:proofErr w:type="gramEnd"/>
    </w:p>
    <w:p w:rsidR="00FF02B9" w:rsidRPr="00FF02B9" w:rsidRDefault="00FF02B9" w:rsidP="00FF02B9">
      <w:pPr>
        <w:pStyle w:val="ListParagraph"/>
      </w:pPr>
      <w:proofErr w:type="spellStart"/>
      <w:r w:rsidRPr="00FF02B9">
        <w:t>Faites</w:t>
      </w:r>
      <w:proofErr w:type="spellEnd"/>
      <w:r w:rsidRPr="00FF02B9">
        <w:t xml:space="preserve"> un X à </w:t>
      </w:r>
      <w:proofErr w:type="spellStart"/>
      <w:r w:rsidRPr="00FF02B9">
        <w:t>côté</w:t>
      </w:r>
      <w:proofErr w:type="spellEnd"/>
      <w:r w:rsidRPr="00FF02B9">
        <w:t xml:space="preserve"> des </w:t>
      </w:r>
      <w:proofErr w:type="spellStart"/>
      <w:r w:rsidRPr="00FF02B9">
        <w:t>rôles</w:t>
      </w:r>
      <w:proofErr w:type="spellEnd"/>
      <w:r w:rsidRPr="00FF02B9">
        <w:t xml:space="preserve"> que </w:t>
      </w:r>
      <w:proofErr w:type="spellStart"/>
      <w:r w:rsidRPr="00FF02B9">
        <w:t>vous</w:t>
      </w:r>
      <w:proofErr w:type="spellEnd"/>
      <w:r w:rsidRPr="00FF02B9">
        <w:t xml:space="preserve"> </w:t>
      </w:r>
      <w:proofErr w:type="spellStart"/>
      <w:r w:rsidRPr="00FF02B9">
        <w:t>connaissez</w:t>
      </w:r>
      <w:proofErr w:type="spellEnd"/>
      <w:r w:rsidRPr="00FF02B9">
        <w:t xml:space="preserve"> </w:t>
      </w:r>
      <w:proofErr w:type="spellStart"/>
      <w:r w:rsidRPr="00FF02B9">
        <w:t>assez</w:t>
      </w:r>
      <w:proofErr w:type="spellEnd"/>
      <w:r w:rsidRPr="00FF02B9">
        <w:t xml:space="preserve"> bien pour </w:t>
      </w:r>
      <w:proofErr w:type="spellStart"/>
      <w:r w:rsidRPr="00FF02B9">
        <w:t>pouvoir</w:t>
      </w:r>
      <w:proofErr w:type="spellEnd"/>
      <w:r w:rsidRPr="00FF02B9">
        <w:t xml:space="preserve"> les </w:t>
      </w:r>
      <w:proofErr w:type="spellStart"/>
      <w:r w:rsidRPr="00FF02B9">
        <w:t>expliquer</w:t>
      </w:r>
      <w:proofErr w:type="spellEnd"/>
      <w:r w:rsidRPr="00FF02B9">
        <w:t xml:space="preserve"> à </w:t>
      </w:r>
      <w:proofErr w:type="spellStart"/>
      <w:r w:rsidRPr="00FF02B9">
        <w:t>d’autres</w:t>
      </w:r>
      <w:proofErr w:type="spellEnd"/>
      <w:r w:rsidRPr="00FF02B9">
        <w:t xml:space="preserve"> </w:t>
      </w:r>
      <w:proofErr w:type="spellStart"/>
      <w:r w:rsidRPr="00FF02B9">
        <w:t>personnes</w:t>
      </w:r>
      <w:proofErr w:type="spellEnd"/>
      <w:r w:rsidRPr="00FF02B9">
        <w:t>.</w:t>
      </w:r>
    </w:p>
    <w:p w:rsidR="00FF02B9" w:rsidRPr="00FF02B9" w:rsidRDefault="00FF02B9" w:rsidP="00FF02B9">
      <w:pPr>
        <w:pStyle w:val="ListParagraph"/>
      </w:pPr>
      <w:proofErr w:type="spellStart"/>
      <w:r w:rsidRPr="00FF02B9">
        <w:t>Ajoutez</w:t>
      </w:r>
      <w:proofErr w:type="spellEnd"/>
      <w:r w:rsidRPr="00FF02B9">
        <w:t xml:space="preserve"> </w:t>
      </w:r>
      <w:proofErr w:type="spellStart"/>
      <w:r w:rsidRPr="00FF02B9">
        <w:t>une</w:t>
      </w:r>
      <w:proofErr w:type="spellEnd"/>
      <w:r w:rsidRPr="00FF02B9">
        <w:t xml:space="preserve"> description pour </w:t>
      </w:r>
      <w:proofErr w:type="spellStart"/>
      <w:r w:rsidRPr="00FF02B9">
        <w:t>chaque</w:t>
      </w:r>
      <w:proofErr w:type="spellEnd"/>
      <w:r w:rsidRPr="00FF02B9">
        <w:t xml:space="preserve"> </w:t>
      </w:r>
      <w:proofErr w:type="spellStart"/>
      <w:r w:rsidRPr="00FF02B9">
        <w:t>rôle</w:t>
      </w:r>
      <w:proofErr w:type="spellEnd"/>
      <w:r w:rsidRPr="00FF02B9">
        <w:t xml:space="preserve">, et </w:t>
      </w:r>
      <w:proofErr w:type="spellStart"/>
      <w:r w:rsidRPr="00FF02B9">
        <w:t>précisez</w:t>
      </w:r>
      <w:proofErr w:type="spellEnd"/>
      <w:r w:rsidRPr="00FF02B9">
        <w:t xml:space="preserve"> comment </w:t>
      </w:r>
      <w:proofErr w:type="spellStart"/>
      <w:r w:rsidRPr="00FF02B9">
        <w:t>ces</w:t>
      </w:r>
      <w:proofErr w:type="spellEnd"/>
      <w:r w:rsidRPr="00FF02B9">
        <w:t xml:space="preserve"> </w:t>
      </w:r>
      <w:proofErr w:type="spellStart"/>
      <w:r w:rsidRPr="00FF02B9">
        <w:t>personnes</w:t>
      </w:r>
      <w:proofErr w:type="spellEnd"/>
      <w:r w:rsidRPr="00FF02B9">
        <w:t xml:space="preserve"> </w:t>
      </w:r>
      <w:proofErr w:type="spellStart"/>
      <w:r w:rsidRPr="00FF02B9">
        <w:t>contribuent</w:t>
      </w:r>
      <w:proofErr w:type="spellEnd"/>
      <w:r w:rsidRPr="00FF02B9">
        <w:t xml:space="preserve"> aux </w:t>
      </w:r>
      <w:proofErr w:type="spellStart"/>
      <w:r w:rsidRPr="00FF02B9">
        <w:t>soins</w:t>
      </w:r>
      <w:proofErr w:type="spellEnd"/>
      <w:r w:rsidRPr="00FF02B9">
        <w:t xml:space="preserve"> par </w:t>
      </w:r>
      <w:proofErr w:type="spellStart"/>
      <w:r w:rsidRPr="00FF02B9">
        <w:t>leurs</w:t>
      </w:r>
      <w:proofErr w:type="spellEnd"/>
      <w:r w:rsidRPr="00FF02B9">
        <w:t xml:space="preserve"> </w:t>
      </w:r>
      <w:proofErr w:type="spellStart"/>
      <w:r w:rsidRPr="00FF02B9">
        <w:t>compétences</w:t>
      </w:r>
      <w:proofErr w:type="spellEnd"/>
      <w:r w:rsidRPr="00FF02B9">
        <w:t xml:space="preserve"> et </w:t>
      </w:r>
      <w:proofErr w:type="spellStart"/>
      <w:r w:rsidRPr="00FF02B9">
        <w:t>leur</w:t>
      </w:r>
      <w:proofErr w:type="spellEnd"/>
      <w:r w:rsidRPr="00FF02B9">
        <w:t xml:space="preserve"> expertise.</w:t>
      </w:r>
    </w:p>
    <w:p w:rsidR="00FF02B9" w:rsidRPr="00FF02B9" w:rsidRDefault="00FF02B9" w:rsidP="00FF02B9">
      <w:pPr>
        <w:pStyle w:val="ListParagraph"/>
      </w:pPr>
      <w:r w:rsidRPr="00FF02B9">
        <w:t xml:space="preserve">Le </w:t>
      </w:r>
      <w:proofErr w:type="spellStart"/>
      <w:r w:rsidRPr="00FF02B9">
        <w:t>cas</w:t>
      </w:r>
      <w:proofErr w:type="spellEnd"/>
      <w:r w:rsidRPr="00FF02B9">
        <w:t xml:space="preserve"> </w:t>
      </w:r>
      <w:proofErr w:type="spellStart"/>
      <w:r w:rsidRPr="00FF02B9">
        <w:t>échéant</w:t>
      </w:r>
      <w:proofErr w:type="spellEnd"/>
      <w:r w:rsidRPr="00FF02B9">
        <w:t xml:space="preserve">, </w:t>
      </w:r>
      <w:proofErr w:type="spellStart"/>
      <w:r w:rsidRPr="00FF02B9">
        <w:t>indiquez</w:t>
      </w:r>
      <w:proofErr w:type="spellEnd"/>
      <w:r w:rsidRPr="00FF02B9">
        <w:t xml:space="preserve"> </w:t>
      </w:r>
      <w:proofErr w:type="spellStart"/>
      <w:r w:rsidRPr="00FF02B9">
        <w:t>si</w:t>
      </w:r>
      <w:proofErr w:type="spellEnd"/>
      <w:r w:rsidRPr="00FF02B9">
        <w:t xml:space="preserve"> le </w:t>
      </w:r>
      <w:proofErr w:type="spellStart"/>
      <w:r w:rsidRPr="00FF02B9">
        <w:t>rôle</w:t>
      </w:r>
      <w:proofErr w:type="spellEnd"/>
      <w:r w:rsidRPr="00FF02B9">
        <w:t xml:space="preserve"> de </w:t>
      </w:r>
      <w:proofErr w:type="spellStart"/>
      <w:r w:rsidRPr="00FF02B9">
        <w:t>l’intervenant</w:t>
      </w:r>
      <w:proofErr w:type="spellEnd"/>
      <w:r w:rsidRPr="00FF02B9">
        <w:t xml:space="preserve"> </w:t>
      </w:r>
      <w:proofErr w:type="spellStart"/>
      <w:r w:rsidRPr="00FF02B9">
        <w:t>dépend</w:t>
      </w:r>
      <w:proofErr w:type="spellEnd"/>
      <w:r w:rsidRPr="00FF02B9">
        <w:t xml:space="preserve"> du </w:t>
      </w:r>
      <w:proofErr w:type="spellStart"/>
      <w:r w:rsidRPr="00FF02B9">
        <w:t>contexte</w:t>
      </w:r>
      <w:proofErr w:type="spellEnd"/>
      <w:r w:rsidRPr="00FF02B9">
        <w:t xml:space="preserve"> de travail.</w:t>
      </w:r>
    </w:p>
    <w:p w:rsidR="00FF02B9" w:rsidRPr="00FF02B9" w:rsidRDefault="00FF02B9" w:rsidP="00FF02B9">
      <w:pPr>
        <w:pStyle w:val="ListParagraph"/>
      </w:pPr>
      <w:proofErr w:type="spellStart"/>
      <w:r w:rsidRPr="00FF02B9">
        <w:t>Réfléchissez</w:t>
      </w:r>
      <w:proofErr w:type="spellEnd"/>
      <w:r w:rsidRPr="00FF02B9">
        <w:t xml:space="preserve"> aux </w:t>
      </w:r>
      <w:proofErr w:type="spellStart"/>
      <w:r w:rsidRPr="00FF02B9">
        <w:t>rôles</w:t>
      </w:r>
      <w:proofErr w:type="spellEnd"/>
      <w:r w:rsidRPr="00FF02B9">
        <w:t xml:space="preserve"> à </w:t>
      </w:r>
      <w:proofErr w:type="spellStart"/>
      <w:r w:rsidRPr="00FF02B9">
        <w:t>côté</w:t>
      </w:r>
      <w:proofErr w:type="spellEnd"/>
      <w:r w:rsidRPr="00FF02B9">
        <w:t xml:space="preserve"> </w:t>
      </w:r>
      <w:proofErr w:type="spellStart"/>
      <w:r w:rsidRPr="00FF02B9">
        <w:t>desquels</w:t>
      </w:r>
      <w:proofErr w:type="spellEnd"/>
      <w:r w:rsidRPr="00FF02B9">
        <w:t xml:space="preserve"> </w:t>
      </w:r>
      <w:proofErr w:type="spellStart"/>
      <w:r w:rsidRPr="00FF02B9">
        <w:t>vous</w:t>
      </w:r>
      <w:proofErr w:type="spellEnd"/>
      <w:r w:rsidRPr="00FF02B9">
        <w:t xml:space="preserve"> </w:t>
      </w:r>
      <w:proofErr w:type="spellStart"/>
      <w:r w:rsidRPr="00FF02B9">
        <w:t>n’avez</w:t>
      </w:r>
      <w:proofErr w:type="spellEnd"/>
      <w:r w:rsidRPr="00FF02B9">
        <w:t xml:space="preserve"> pas </w:t>
      </w:r>
      <w:proofErr w:type="spellStart"/>
      <w:r w:rsidRPr="00FF02B9">
        <w:t>inscrit</w:t>
      </w:r>
      <w:proofErr w:type="spellEnd"/>
      <w:r w:rsidRPr="00FF02B9">
        <w:t xml:space="preserve"> un </w:t>
      </w:r>
      <w:proofErr w:type="gramStart"/>
      <w:r w:rsidRPr="00FF02B9">
        <w:t>X :</w:t>
      </w:r>
      <w:proofErr w:type="gramEnd"/>
      <w:r w:rsidRPr="00FF02B9">
        <w:t xml:space="preserve"> </w:t>
      </w:r>
      <w:proofErr w:type="spellStart"/>
      <w:r w:rsidRPr="00FF02B9">
        <w:t>est-il</w:t>
      </w:r>
      <w:proofErr w:type="spellEnd"/>
      <w:r w:rsidRPr="00FF02B9">
        <w:t xml:space="preserve"> important de </w:t>
      </w:r>
      <w:proofErr w:type="spellStart"/>
      <w:r w:rsidRPr="00FF02B9">
        <w:t>comprendre</w:t>
      </w:r>
      <w:proofErr w:type="spellEnd"/>
      <w:r w:rsidRPr="00FF02B9">
        <w:t xml:space="preserve"> </w:t>
      </w:r>
      <w:proofErr w:type="spellStart"/>
      <w:r w:rsidRPr="00FF02B9">
        <w:t>ces</w:t>
      </w:r>
      <w:proofErr w:type="spellEnd"/>
      <w:r w:rsidRPr="00FF02B9">
        <w:t xml:space="preserve"> </w:t>
      </w:r>
      <w:proofErr w:type="spellStart"/>
      <w:r w:rsidRPr="00FF02B9">
        <w:t>rôles</w:t>
      </w:r>
      <w:proofErr w:type="spellEnd"/>
      <w:r w:rsidRPr="00FF02B9">
        <w:t xml:space="preserve"> pour </w:t>
      </w:r>
      <w:proofErr w:type="spellStart"/>
      <w:r w:rsidRPr="00FF02B9">
        <w:t>votre</w:t>
      </w:r>
      <w:proofErr w:type="spellEnd"/>
      <w:r w:rsidRPr="00FF02B9">
        <w:t xml:space="preserve"> </w:t>
      </w:r>
      <w:proofErr w:type="spellStart"/>
      <w:r w:rsidRPr="00FF02B9">
        <w:t>pratique</w:t>
      </w:r>
      <w:proofErr w:type="spellEnd"/>
      <w:r w:rsidRPr="00FF02B9">
        <w:t xml:space="preserve"> et pour les </w:t>
      </w:r>
      <w:proofErr w:type="spellStart"/>
      <w:r w:rsidRPr="00FF02B9">
        <w:t>soins</w:t>
      </w:r>
      <w:proofErr w:type="spellEnd"/>
      <w:r w:rsidRPr="00FF02B9">
        <w:t xml:space="preserve"> </w:t>
      </w:r>
      <w:proofErr w:type="spellStart"/>
      <w:r w:rsidRPr="00FF02B9">
        <w:t>destinés</w:t>
      </w:r>
      <w:proofErr w:type="spellEnd"/>
      <w:r w:rsidRPr="00FF02B9">
        <w:t xml:space="preserve"> à </w:t>
      </w:r>
      <w:proofErr w:type="spellStart"/>
      <w:r w:rsidRPr="00FF02B9">
        <w:t>vos</w:t>
      </w:r>
      <w:proofErr w:type="spellEnd"/>
      <w:r w:rsidRPr="00FF02B9">
        <w:t xml:space="preserve"> patients? Si </w:t>
      </w:r>
      <w:proofErr w:type="spellStart"/>
      <w:r w:rsidRPr="00FF02B9">
        <w:t>oui</w:t>
      </w:r>
      <w:proofErr w:type="spellEnd"/>
      <w:r w:rsidRPr="00FF02B9">
        <w:t xml:space="preserve">, </w:t>
      </w:r>
      <w:proofErr w:type="spellStart"/>
      <w:r w:rsidRPr="00FF02B9">
        <w:t>prenez</w:t>
      </w:r>
      <w:proofErr w:type="spellEnd"/>
      <w:r w:rsidRPr="00FF02B9">
        <w:t xml:space="preserve"> le temps de </w:t>
      </w:r>
      <w:proofErr w:type="spellStart"/>
      <w:r w:rsidRPr="00FF02B9">
        <w:t>mieux</w:t>
      </w:r>
      <w:proofErr w:type="spellEnd"/>
      <w:r w:rsidRPr="00FF02B9">
        <w:t xml:space="preserve"> les </w:t>
      </w:r>
      <w:proofErr w:type="spellStart"/>
      <w:r w:rsidRPr="00FF02B9">
        <w:t>connaître</w:t>
      </w:r>
      <w:proofErr w:type="spellEnd"/>
      <w:r w:rsidRPr="00FF02B9">
        <w:t>.</w:t>
      </w: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bookmarkStart w:id="0" w:name="_GoBack"/>
      <w:bookmarkEnd w:id="0"/>
    </w:p>
    <w:p w:rsidR="00FF02B9" w:rsidRDefault="00FF02B9" w:rsidP="00FF02B9">
      <w:pPr>
        <w:rPr>
          <w:lang w:val="fr-CA"/>
        </w:rPr>
      </w:pPr>
    </w:p>
    <w:tbl>
      <w:tblPr>
        <w:tblW w:w="0" w:type="auto"/>
        <w:tblInd w:w="90" w:type="dxa"/>
        <w:tblLayout w:type="fixed"/>
        <w:tblCellMar>
          <w:left w:w="0" w:type="dxa"/>
          <w:right w:w="0" w:type="dxa"/>
        </w:tblCellMar>
        <w:tblLook w:val="0000" w:firstRow="0" w:lastRow="0" w:firstColumn="0" w:lastColumn="0" w:noHBand="0" w:noVBand="0"/>
      </w:tblPr>
      <w:tblGrid>
        <w:gridCol w:w="3259"/>
        <w:gridCol w:w="510"/>
        <w:gridCol w:w="7031"/>
      </w:tblGrid>
      <w:tr w:rsidR="00FF02B9" w:rsidRPr="008B6971" w:rsidTr="00F96436">
        <w:trPr>
          <w:trHeight w:val="60"/>
          <w:tblHeader/>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Head"/>
            </w:pPr>
            <w:r>
              <w:lastRenderedPageBreak/>
              <w:t>R</w:t>
            </w:r>
            <w:r w:rsidRPr="00AF71EC">
              <w:t>ÔLE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Head"/>
            </w:pPr>
            <w:r w:rsidRPr="00AF71EC">
              <w:t>X</w:t>
            </w: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Head"/>
            </w:pPr>
            <w:r w:rsidRPr="00AF71EC">
              <w:t>DESCRIPTION</w:t>
            </w:r>
          </w:p>
        </w:tc>
      </w:tr>
      <w:tr w:rsidR="00FF02B9" w:rsidRPr="008B6971" w:rsidTr="00F96436">
        <w:trPr>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Head"/>
            </w:pPr>
            <w:r w:rsidRPr="00AF71EC">
              <w:t>MÉDECINS</w:t>
            </w: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Externe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 xml:space="preserve">Adjoint au </w:t>
            </w:r>
            <w:proofErr w:type="spellStart"/>
            <w:r w:rsidRPr="00AF71EC">
              <w:t>médecin</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Résident</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372"/>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Stagiaire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Médecin</w:t>
            </w:r>
            <w:proofErr w:type="spellEnd"/>
            <w:r w:rsidRPr="00AF71EC">
              <w:t xml:space="preserve"> à temps </w:t>
            </w:r>
            <w:proofErr w:type="spellStart"/>
            <w:r w:rsidRPr="00AF71EC">
              <w:t>plein</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Médecin</w:t>
            </w:r>
            <w:proofErr w:type="spellEnd"/>
            <w:r w:rsidRPr="00AF71EC">
              <w:t xml:space="preserve"> de </w:t>
            </w:r>
            <w:proofErr w:type="spellStart"/>
            <w:r w:rsidRPr="00AF71EC">
              <w:t>famille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Spécialiste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FF02B9" w:rsidTr="00F96436">
        <w:trPr>
          <w:cantSplit/>
          <w:trHeight w:val="60"/>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FF02B9" w:rsidRDefault="00FF02B9" w:rsidP="00FF02B9">
            <w:pPr>
              <w:pStyle w:val="ChartHead"/>
              <w:rPr>
                <w:lang w:val="fr-CA"/>
              </w:rPr>
            </w:pPr>
            <w:r w:rsidRPr="00FF02B9">
              <w:rPr>
                <w:lang w:val="fr-CA"/>
              </w:rPr>
              <w:t>AUTRES PROFESSIONNELS DE LA SANTÉ</w:t>
            </w: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w:t>
            </w:r>
            <w:proofErr w:type="spellStart"/>
            <w:r w:rsidRPr="00AF71EC">
              <w:t>praticienne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w:t>
            </w:r>
            <w:proofErr w:type="spellStart"/>
            <w:r w:rsidRPr="00AF71EC">
              <w:t>en</w:t>
            </w:r>
            <w:proofErr w:type="spellEnd"/>
            <w:r w:rsidRPr="00AF71EC">
              <w:t xml:space="preserve"> </w:t>
            </w:r>
            <w:proofErr w:type="spellStart"/>
            <w:r w:rsidRPr="00AF71EC">
              <w:t>pratique</w:t>
            </w:r>
            <w:proofErr w:type="spellEnd"/>
            <w:r w:rsidRPr="00AF71EC">
              <w:t xml:space="preserve"> </w:t>
            </w:r>
            <w:proofErr w:type="spellStart"/>
            <w:r w:rsidRPr="00AF71EC">
              <w:t>avancée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w:t>
            </w:r>
            <w:proofErr w:type="spellStart"/>
            <w:r w:rsidRPr="00AF71EC">
              <w:t>autorisée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Adjointe</w:t>
            </w:r>
            <w:proofErr w:type="spellEnd"/>
            <w:r w:rsidRPr="00AF71EC">
              <w:t xml:space="preserve"> à </w:t>
            </w:r>
            <w:proofErr w:type="spellStart"/>
            <w:r w:rsidRPr="00AF71EC">
              <w:t>l’infirmière</w:t>
            </w:r>
            <w:proofErr w:type="spellEnd"/>
            <w:r w:rsidRPr="00AF71EC">
              <w:t xml:space="preserve"> </w:t>
            </w:r>
            <w:proofErr w:type="spellStart"/>
            <w:r w:rsidRPr="00AF71EC">
              <w:t>autorisée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Technicien</w:t>
            </w:r>
            <w:proofErr w:type="spellEnd"/>
            <w:r w:rsidRPr="00AF71EC">
              <w:t xml:space="preserve"> </w:t>
            </w:r>
            <w:proofErr w:type="spellStart"/>
            <w:r w:rsidRPr="00AF71EC">
              <w:t>en</w:t>
            </w:r>
            <w:proofErr w:type="spellEnd"/>
            <w:r w:rsidRPr="00AF71EC">
              <w:t xml:space="preserve"> </w:t>
            </w:r>
            <w:proofErr w:type="spellStart"/>
            <w:r w:rsidRPr="00AF71EC">
              <w:t>ponction</w:t>
            </w:r>
            <w:proofErr w:type="spellEnd"/>
            <w:r w:rsidRPr="00AF71EC">
              <w:t xml:space="preserve"> </w:t>
            </w:r>
            <w:proofErr w:type="spellStart"/>
            <w:r w:rsidRPr="00AF71EC">
              <w:t>veineuse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w:t>
            </w:r>
            <w:proofErr w:type="spellStart"/>
            <w:r w:rsidRPr="00AF71EC">
              <w:t>responsable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332"/>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w:t>
            </w:r>
            <w:proofErr w:type="spellStart"/>
            <w:r w:rsidRPr="00AF71EC">
              <w:t>gestionnaire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Infirmière</w:t>
            </w:r>
            <w:proofErr w:type="spellEnd"/>
            <w:r w:rsidRPr="00AF71EC">
              <w:t xml:space="preserve"> de triage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Audiologiste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Podologiste</w:t>
            </w:r>
            <w:proofErr w:type="spellEnd"/>
            <w:r w:rsidRPr="00AF71EC">
              <w:t xml:space="preserve"> et </w:t>
            </w:r>
            <w:proofErr w:type="spellStart"/>
            <w:r w:rsidRPr="00AF71EC">
              <w:t>podiatre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Aumônier</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Chiropraticien</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358"/>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Hygiéniste</w:t>
            </w:r>
            <w:proofErr w:type="spellEnd"/>
            <w:r w:rsidRPr="00AF71EC">
              <w:t xml:space="preserve"> </w:t>
            </w:r>
            <w:proofErr w:type="spellStart"/>
            <w:r w:rsidRPr="00AF71EC">
              <w:t>dentaire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Dentiste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Denturologiste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Diététiste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Kinésiologue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Massothérapeute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Technologue</w:t>
            </w:r>
            <w:proofErr w:type="spellEnd"/>
            <w:r w:rsidRPr="00AF71EC">
              <w:t xml:space="preserve"> de </w:t>
            </w:r>
            <w:proofErr w:type="spellStart"/>
            <w:r w:rsidRPr="00AF71EC">
              <w:t>laboratoire</w:t>
            </w:r>
            <w:proofErr w:type="spellEnd"/>
            <w:r w:rsidRPr="00AF71EC">
              <w:t xml:space="preserve"> </w:t>
            </w:r>
            <w:proofErr w:type="spellStart"/>
            <w:r w:rsidRPr="00AF71EC">
              <w:t>médical</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lastRenderedPageBreak/>
              <w:t>Technologue</w:t>
            </w:r>
            <w:proofErr w:type="spellEnd"/>
            <w:r w:rsidRPr="00AF71EC">
              <w:t xml:space="preserve"> </w:t>
            </w:r>
            <w:proofErr w:type="spellStart"/>
            <w:r w:rsidRPr="00AF71EC">
              <w:t>en</w:t>
            </w:r>
            <w:proofErr w:type="spellEnd"/>
            <w:r w:rsidRPr="00AF71EC">
              <w:t xml:space="preserve"> radiation </w:t>
            </w:r>
            <w:proofErr w:type="spellStart"/>
            <w:r w:rsidRPr="00AF71EC">
              <w:t>médicale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Sage-femme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Ergothérapeute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Opticien</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Optométriste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Ambulancier</w:t>
            </w:r>
            <w:proofErr w:type="spellEnd"/>
            <w:r w:rsidRPr="00AF71EC">
              <w:t xml:space="preserve"> </w:t>
            </w:r>
            <w:proofErr w:type="spellStart"/>
            <w:r w:rsidRPr="00AF71EC">
              <w:t>paramédical</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Pharmacien</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Physiothérapeute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Prothésiste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Psychologue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Inhalothérapeute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Travailleur</w:t>
            </w:r>
            <w:proofErr w:type="spellEnd"/>
            <w:r w:rsidRPr="00AF71EC">
              <w:t xml:space="preserve"> social</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Phoniatre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468"/>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Head"/>
            </w:pPr>
            <w:r w:rsidRPr="00AF71EC">
              <w:t>INTERVENANTS COMMUNAUTAIRES</w:t>
            </w:r>
          </w:p>
          <w:p w:rsidR="00FF02B9" w:rsidRPr="00AF71EC" w:rsidRDefault="00FF02B9" w:rsidP="00FF02B9">
            <w:pPr>
              <w:pStyle w:val="ChartHead"/>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Soins</w:t>
            </w:r>
            <w:proofErr w:type="spellEnd"/>
            <w:r w:rsidRPr="00AF71EC">
              <w:t xml:space="preserve"> à domicile</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Soins</w:t>
            </w:r>
            <w:proofErr w:type="spellEnd"/>
            <w:r w:rsidRPr="00AF71EC">
              <w:t xml:space="preserve"> </w:t>
            </w:r>
            <w:proofErr w:type="spellStart"/>
            <w:r w:rsidRPr="00AF71EC">
              <w:t>infirmiers</w:t>
            </w:r>
            <w:proofErr w:type="spellEnd"/>
            <w:r w:rsidRPr="00AF71EC">
              <w:t xml:space="preserve"> </w:t>
            </w:r>
            <w:proofErr w:type="spellStart"/>
            <w:r w:rsidRPr="00AF71EC">
              <w:t>communautaires</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374"/>
        </w:trPr>
        <w:tc>
          <w:tcPr>
            <w:tcW w:w="10800" w:type="dxa"/>
            <w:gridSpan w:val="3"/>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Head"/>
            </w:pPr>
            <w:r w:rsidRPr="00AF71EC">
              <w:t>INTERVENANTS DE SOUTIEN</w:t>
            </w:r>
          </w:p>
          <w:p w:rsidR="00FF02B9" w:rsidRPr="00AF71EC" w:rsidRDefault="00FF02B9" w:rsidP="00FF02B9">
            <w:pPr>
              <w:pStyle w:val="ChartHead"/>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 xml:space="preserve">Services </w:t>
            </w:r>
            <w:proofErr w:type="spellStart"/>
            <w:r w:rsidRPr="00AF71EC">
              <w:t>diététiques</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 xml:space="preserve">Entretien </w:t>
            </w:r>
            <w:proofErr w:type="spellStart"/>
            <w:r w:rsidRPr="00AF71EC">
              <w:t>ménager</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Sécurité</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Bénévole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Commis</w:t>
            </w:r>
            <w:proofErr w:type="spellEnd"/>
            <w:r w:rsidRPr="00AF71EC">
              <w:t xml:space="preserve"> </w:t>
            </w:r>
            <w:proofErr w:type="spellStart"/>
            <w:r w:rsidRPr="00AF71EC">
              <w:t>d’unité</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 xml:space="preserve">Coordination des </w:t>
            </w:r>
            <w:proofErr w:type="spellStart"/>
            <w:r w:rsidRPr="00AF71EC">
              <w:t>lits</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lastRenderedPageBreak/>
              <w:t>Dossiers des patients</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Dictée</w:t>
            </w:r>
            <w:proofErr w:type="spellEnd"/>
            <w:r w:rsidRPr="00AF71EC">
              <w:t>/transcription</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r w:rsidRPr="00AF71EC">
              <w:t xml:space="preserve">Service </w:t>
            </w:r>
            <w:proofErr w:type="spellStart"/>
            <w:r w:rsidRPr="00AF71EC">
              <w:t>d’approvisionnement</w:t>
            </w:r>
            <w:proofErr w:type="spellEnd"/>
            <w:r w:rsidRPr="00AF71EC">
              <w:t xml:space="preserve"> central</w:t>
            </w:r>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r w:rsidR="00FF02B9" w:rsidRPr="008B6971" w:rsidTr="00F96436">
        <w:trPr>
          <w:trHeight w:val="60"/>
        </w:trPr>
        <w:tc>
          <w:tcPr>
            <w:tcW w:w="325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roofErr w:type="spellStart"/>
            <w:r w:rsidRPr="00AF71EC">
              <w:t>Autre</w:t>
            </w:r>
            <w:proofErr w:type="spellEnd"/>
          </w:p>
        </w:tc>
        <w:tc>
          <w:tcPr>
            <w:tcW w:w="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F02B9" w:rsidRPr="00AF71EC" w:rsidRDefault="00FF02B9" w:rsidP="00FF02B9">
            <w:pPr>
              <w:pStyle w:val="ChartBodyLeft"/>
            </w:pPr>
          </w:p>
        </w:tc>
        <w:tc>
          <w:tcPr>
            <w:tcW w:w="7031"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F02B9" w:rsidRPr="00AF71EC" w:rsidRDefault="00FF02B9" w:rsidP="00FF02B9">
            <w:pPr>
              <w:pStyle w:val="ChartBodyLeft"/>
            </w:pPr>
          </w:p>
        </w:tc>
      </w:tr>
    </w:tbl>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Default="00FF02B9" w:rsidP="00FF02B9">
      <w:pPr>
        <w:rPr>
          <w:lang w:val="fr-CA"/>
        </w:rPr>
      </w:pPr>
    </w:p>
    <w:p w:rsidR="00FF02B9" w:rsidRPr="00FF02B9" w:rsidRDefault="00FF02B9" w:rsidP="00FF02B9">
      <w:pPr>
        <w:rPr>
          <w:lang w:val="fr-CA"/>
        </w:rPr>
      </w:pPr>
    </w:p>
    <w:sectPr w:rsidR="00FF02B9" w:rsidRPr="00FF02B9"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FF02B9" w:rsidRPr="00FF02B9" w:rsidRDefault="00FF02B9" w:rsidP="00FF02B9">
      <w:pPr>
        <w:pStyle w:val="Source"/>
        <w:rPr>
          <w:rFonts w:ascii="Arial" w:eastAsia="Arial" w:hAnsi="Arial" w:cs="Arial"/>
          <w:sz w:val="14"/>
          <w:szCs w:val="14"/>
          <w:lang w:val="fr-CA"/>
        </w:rPr>
      </w:pPr>
      <w:r w:rsidRPr="008B6971">
        <w:rPr>
          <w:rStyle w:val="EndnoteReference"/>
          <w:sz w:val="18"/>
          <w:szCs w:val="18"/>
        </w:rPr>
        <w:endnoteRef/>
      </w:r>
      <w:r w:rsidRPr="00FF02B9">
        <w:rPr>
          <w:lang w:val="fr-CA"/>
        </w:rPr>
        <w:t xml:space="preserve"> Adaptation : Richardson D, Martin D, Glover Takahashi S. Chapitre 3. Tiré de : </w:t>
      </w:r>
      <w:r w:rsidRPr="00FF02B9">
        <w:rPr>
          <w:i/>
          <w:lang w:val="fr-CA"/>
        </w:rPr>
        <w:t>Trousse pour l’enseignement et l’évaluation du rôle CanMEDS de collaborateur.</w:t>
      </w:r>
      <w:r w:rsidRPr="00FF02B9">
        <w:rPr>
          <w:lang w:val="fr-CA"/>
        </w:rPr>
        <w:t xml:space="preserve"> Ottawa : Collège royal des médecins et chirurgiens du Canada, 2012. Reproduit avec autorisation.</w:t>
      </w:r>
    </w:p>
    <w:p w:rsidR="00FF02B9" w:rsidRPr="00FF02B9" w:rsidRDefault="00FF02B9" w:rsidP="00FF02B9">
      <w:pPr>
        <w:pStyle w:val="EndnoteText"/>
        <w:rPr>
          <w:sz w:val="16"/>
          <w:szCs w:val="16"/>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FF02B9"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sidRPr="00FF02B9">
      <w:rPr>
        <w:b/>
        <w:noProof/>
        <w:sz w:val="18"/>
        <w:szCs w:val="18"/>
        <w:lang w:val="fr-CA"/>
      </w:rPr>
      <w:br/>
    </w:r>
  </w:p>
  <w:p w:rsidR="002802DD" w:rsidRPr="00FF02B9" w:rsidRDefault="00966096" w:rsidP="00966096">
    <w:pPr>
      <w:pStyle w:val="BasicParagraph"/>
      <w:jc w:val="center"/>
      <w:rPr>
        <w:color w:val="7F7F7F"/>
        <w:lang w:val="fr-CA"/>
      </w:rPr>
    </w:pPr>
    <w:r w:rsidRPr="00FF02B9">
      <w:rPr>
        <w:rFonts w:ascii="Open Sans" w:hAnsi="Open Sans" w:cs="Open Sans"/>
        <w:color w:val="7F7F7F"/>
        <w:sz w:val="14"/>
        <w:szCs w:val="14"/>
        <w:lang w:val="fr-CA"/>
      </w:rPr>
      <w:t xml:space="preserve">Outils d’enseignement </w:t>
    </w:r>
    <w:r w:rsidR="00FF02B9" w:rsidRPr="00FF02B9">
      <w:rPr>
        <w:rFonts w:ascii="Open Sans" w:hAnsi="Open Sans" w:cs="Open Sans"/>
        <w:color w:val="7F7F7F"/>
        <w:sz w:val="14"/>
        <w:szCs w:val="14"/>
        <w:lang w:val="fr-CA"/>
      </w:rPr>
      <w:t>5</w:t>
    </w:r>
    <w:r w:rsidRPr="00FF02B9">
      <w:rPr>
        <w:rFonts w:ascii="Open Sans" w:hAnsi="Open Sans" w:cs="Open Sans"/>
        <w:color w:val="7F7F7F"/>
        <w:sz w:val="14"/>
        <w:szCs w:val="14"/>
        <w:lang w:val="fr-CA"/>
      </w:rPr>
      <w:t xml:space="preserve"> – </w:t>
    </w:r>
    <w:r w:rsidRPr="00FF02B9">
      <w:rPr>
        <w:rFonts w:ascii="Open Sans" w:hAnsi="Open Sans" w:cs="Open Sans"/>
        <w:color w:val="003A5B" w:themeColor="text2"/>
        <w:sz w:val="14"/>
        <w:szCs w:val="14"/>
        <w:lang w:val="fr-CA"/>
      </w:rPr>
      <w:t>RÉFLEXION DIRIGÉE</w:t>
    </w:r>
    <w:r w:rsidR="00FF02B9" w:rsidRPr="00FF02B9">
      <w:rPr>
        <w:rFonts w:ascii="Open Sans" w:hAnsi="Open Sans" w:cs="Open Sans"/>
        <w:color w:val="003A5B" w:themeColor="text2"/>
        <w:sz w:val="14"/>
        <w:szCs w:val="14"/>
        <w:lang w:val="fr-CA"/>
      </w:rPr>
      <w:t xml:space="preserve"> ET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774CB"/>
    <w:multiLevelType w:val="hybridMultilevel"/>
    <w:tmpl w:val="789EDE92"/>
    <w:lvl w:ilvl="0" w:tplc="B3925DAE">
      <w:start w:val="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0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15A95"/>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styleId="EndnoteText">
    <w:name w:val="endnote text"/>
    <w:basedOn w:val="Normal"/>
    <w:link w:val="EndnoteTextChar"/>
    <w:uiPriority w:val="99"/>
    <w:unhideWhenUsed/>
    <w:rsid w:val="00FF02B9"/>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FF02B9"/>
    <w:rPr>
      <w:rFonts w:ascii="Verdana" w:eastAsia="MS ??" w:hAnsi="Verdana"/>
      <w:noProof/>
      <w:lang w:val="en-US"/>
    </w:rPr>
  </w:style>
  <w:style w:type="character" w:styleId="EndnoteReference">
    <w:name w:val="endnote reference"/>
    <w:basedOn w:val="DefaultParagraphFont"/>
    <w:uiPriority w:val="99"/>
    <w:semiHidden/>
    <w:unhideWhenUsed/>
    <w:rsid w:val="00FF0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3c17827-2a44-4186-817e-0d9f5805cdb5"/>
    <ds:schemaRef ds:uri="http://purl.org/dc/dcmitype/"/>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1F5F3-DACD-402E-A5D1-1AE7D1C3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2021-11-22T16:37:00Z</dcterms:created>
  <dcterms:modified xsi:type="dcterms:W3CDTF">2021-11-22T16:37:00Z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