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254DBC" w:rsidRDefault="00254DBC" w:rsidP="008B0FEF">
      <w:pPr>
        <w:pStyle w:val="Heading1"/>
        <w:rPr>
          <w:lang w:val="fr-CA"/>
        </w:rPr>
      </w:pPr>
      <w:r w:rsidRPr="00254DBC">
        <w:rPr>
          <w:lang w:val="fr-CA"/>
        </w:rPr>
        <w:t>Outils d’enseignement</w:t>
      </w:r>
      <w:r w:rsidR="00BF4E7C" w:rsidRPr="00254DBC">
        <w:rPr>
          <w:lang w:val="fr-CA"/>
        </w:rPr>
        <w:t xml:space="preserve"> 6 – </w:t>
      </w:r>
      <w:r w:rsidRPr="00254DBC">
        <w:rPr>
          <w:lang w:val="fr-CA"/>
        </w:rPr>
        <w:t xml:space="preserve">Étude </w:t>
      </w:r>
      <w:r w:rsidR="002D01B7">
        <w:rPr>
          <w:lang w:val="fr-CA"/>
        </w:rPr>
        <w:t>de</w:t>
      </w:r>
      <w:r>
        <w:rPr>
          <w:lang w:val="fr-CA"/>
        </w:rPr>
        <w:t xml:space="preserve"> cas</w:t>
      </w:r>
    </w:p>
    <w:p w:rsidR="002B03F8" w:rsidRPr="00254DBC" w:rsidRDefault="00BF4E7C" w:rsidP="008B0FEF">
      <w:pPr>
        <w:pStyle w:val="Subtitle"/>
        <w:rPr>
          <w:lang w:val="en-US"/>
        </w:rPr>
      </w:pPr>
      <w:r w:rsidRPr="00254DBC">
        <w:rPr>
          <w:lang w:val="fr-CA"/>
        </w:rPr>
        <w:t xml:space="preserve">CanMEDS </w:t>
      </w:r>
      <w:r w:rsidR="00254DBC">
        <w:rPr>
          <w:lang w:val="fr-CA"/>
        </w:rPr>
        <w:t>Érudit</w:t>
      </w:r>
      <w:r w:rsidR="00254DBC" w:rsidRPr="00254DBC">
        <w:rPr>
          <w:lang w:val="en-US"/>
        </w:rPr>
        <w:t xml:space="preserve"> </w:t>
      </w:r>
    </w:p>
    <w:p w:rsidR="00BF4E7C" w:rsidRPr="00254DBC" w:rsidRDefault="00254DBC" w:rsidP="004658A6">
      <w:pPr>
        <w:pStyle w:val="Heading2"/>
        <w:rPr>
          <w:i/>
          <w:lang w:val="en-US"/>
        </w:rPr>
      </w:pPr>
      <w:r>
        <w:t>Ra</w:t>
      </w:r>
      <w:proofErr w:type="spellStart"/>
      <w:r w:rsidRPr="00254DBC">
        <w:rPr>
          <w:lang w:val="en-CA"/>
        </w:rPr>
        <w:t>pport</w:t>
      </w:r>
      <w:proofErr w:type="spellEnd"/>
      <w:r w:rsidRPr="00254DBC">
        <w:rPr>
          <w:lang w:val="en-CA"/>
        </w:rPr>
        <w:t xml:space="preserve"> </w:t>
      </w:r>
      <w:proofErr w:type="spellStart"/>
      <w:r w:rsidRPr="00254DBC">
        <w:rPr>
          <w:lang w:val="en-CA"/>
        </w:rPr>
        <w:t>d’enseignement</w:t>
      </w:r>
      <w:proofErr w:type="spellEnd"/>
      <w:r w:rsidRPr="00254DBC">
        <w:rPr>
          <w:lang w:val="en-CA"/>
        </w:rPr>
        <w:t xml:space="preserve"> de </w:t>
      </w:r>
      <w:proofErr w:type="spellStart"/>
      <w:r w:rsidRPr="00254DBC">
        <w:rPr>
          <w:lang w:val="en-CA"/>
        </w:rPr>
        <w:t>l’érudit</w:t>
      </w:r>
      <w:proofErr w:type="spellEnd"/>
    </w:p>
    <w:p w:rsidR="00BF4E7C" w:rsidRPr="00254DBC" w:rsidRDefault="00254DBC" w:rsidP="00BF4E7C">
      <w:pPr>
        <w:rPr>
          <w:rStyle w:val="SubtleReference"/>
          <w:iCs/>
          <w:lang w:val="fr-CA"/>
        </w:rPr>
      </w:pPr>
      <w:r w:rsidRPr="00254DBC">
        <w:rPr>
          <w:iCs/>
          <w:smallCaps/>
          <w:color w:val="5A5A5A" w:themeColor="text1" w:themeTint="A5"/>
          <w:lang w:val="fr-CA"/>
        </w:rPr>
        <w:t>Le contenu ci-dessous, rédigé par S. Glover Takahashi sous la gouverne du Collège royal des</w:t>
      </w:r>
      <w:r w:rsidRPr="00254DBC">
        <w:rPr>
          <w:i/>
          <w:iCs/>
          <w:smallCaps/>
          <w:color w:val="5A5A5A" w:themeColor="text1" w:themeTint="A5"/>
          <w:lang w:val="fr-CA"/>
        </w:rPr>
        <w:t xml:space="preserve"> médecins </w:t>
      </w:r>
      <w:r w:rsidRPr="00254DBC">
        <w:rPr>
          <w:iCs/>
          <w:smallCaps/>
          <w:color w:val="5A5A5A" w:themeColor="text1" w:themeTint="A5"/>
          <w:lang w:val="fr-CA"/>
        </w:rPr>
        <w:t>et chirurgiens du Canada, est tiré tel quel du Guide des outils d'enseignement et d'évaluation CanMEDS. Vous pouvez utiliser, reproduire et modifier ce contenu à vos propres fins no</w:t>
      </w:r>
      <w:bookmarkStart w:id="0" w:name="_GoBack"/>
      <w:bookmarkEnd w:id="0"/>
      <w:r w:rsidRPr="00254DBC">
        <w:rPr>
          <w:iCs/>
          <w:smallCaps/>
          <w:color w:val="5A5A5A" w:themeColor="text1" w:themeTint="A5"/>
          <w:lang w:val="fr-CA"/>
        </w:rPr>
        <w:t xml:space="preserve">n commerciales, à condition d’indiquer clairement vos changements et de créditer le Collège royal. Ce dernier peut révoquer cette autorisation à tout moment, par écrit.  </w:t>
      </w:r>
    </w:p>
    <w:p w:rsidR="00BF4E7C" w:rsidRPr="00254DBC" w:rsidRDefault="00254DBC" w:rsidP="00BF4E7C">
      <w:pPr>
        <w:rPr>
          <w:b/>
          <w:iCs/>
          <w:smallCaps/>
          <w:color w:val="5A5A5A" w:themeColor="text1" w:themeTint="A5"/>
          <w:lang w:val="fr-CA"/>
        </w:rPr>
      </w:pPr>
      <w:r w:rsidRPr="00254DBC">
        <w:rPr>
          <w:b/>
          <w:bCs/>
          <w:iCs/>
          <w:smallCaps/>
          <w:color w:val="5A5A5A" w:themeColor="text1" w:themeTint="A5"/>
          <w:lang w:val="fr-CA"/>
        </w:rPr>
        <w:t>REMARQUE : Le contenu ci-dessous peut avoir été modifié et ne plus représenter l’opinion ou le point de vue du Collège royal.</w:t>
      </w:r>
    </w:p>
    <w:p w:rsidR="00BF4E7C" w:rsidRPr="00254DBC" w:rsidRDefault="00BF4E7C" w:rsidP="00BF4E7C">
      <w:pPr>
        <w:rPr>
          <w:b/>
          <w:lang w:val="fr-CA"/>
        </w:rPr>
      </w:pPr>
    </w:p>
    <w:p w:rsidR="00BF4E7C" w:rsidRPr="00254DBC" w:rsidRDefault="00254DBC" w:rsidP="00BF4E7C">
      <w:pPr>
        <w:rPr>
          <w:color w:val="auto"/>
          <w:sz w:val="22"/>
          <w:lang w:val="fr-CA"/>
        </w:rPr>
      </w:pPr>
      <w:r w:rsidRPr="00254DBC">
        <w:rPr>
          <w:rFonts w:ascii="Open Sans Bold" w:hAnsi="Open Sans Bold"/>
          <w:b/>
          <w:bCs/>
          <w:color w:val="003A5B" w:themeColor="text2"/>
          <w:sz w:val="30"/>
          <w:szCs w:val="30"/>
          <w:lang w:val="fr-CA"/>
        </w:rPr>
        <w:t xml:space="preserve">Directives à l’intention des apprenants : </w:t>
      </w:r>
      <w:r w:rsidRPr="00254DBC">
        <w:rPr>
          <w:rStyle w:val="Heading3Char"/>
          <w:rFonts w:eastAsia="Open Sans"/>
          <w:color w:val="003A5B" w:themeColor="text2"/>
          <w:lang w:val="fr-CA"/>
        </w:rPr>
        <w:t xml:space="preserve"> </w:t>
      </w:r>
      <w:r w:rsidRPr="00254DBC">
        <w:rPr>
          <w:lang w:val="fr-CA"/>
        </w:rPr>
        <w:t>il est important de protéger la confidentialité des renseignements – veuillez ne pas identifier les gens dans la réalisation de cet exercice.</w:t>
      </w:r>
    </w:p>
    <w:p w:rsidR="00BF4E7C" w:rsidRPr="00254DBC" w:rsidRDefault="00BF4E7C" w:rsidP="00BF4E7C">
      <w:pPr>
        <w:rPr>
          <w:lang w:val="fr-CA"/>
        </w:rPr>
      </w:pPr>
    </w:p>
    <w:p w:rsidR="00BF4E7C" w:rsidRPr="00254DBC" w:rsidRDefault="00254DBC" w:rsidP="00254DBC">
      <w:pPr>
        <w:pStyle w:val="ListParagraph"/>
        <w:numPr>
          <w:ilvl w:val="0"/>
          <w:numId w:val="15"/>
        </w:numPr>
        <w:snapToGrid/>
        <w:spacing w:after="0"/>
        <w:contextualSpacing/>
        <w:rPr>
          <w:lang w:val="fr-CA"/>
        </w:rPr>
      </w:pPr>
      <w:r w:rsidRPr="00254DBC">
        <w:rPr>
          <w:b/>
          <w:bCs/>
          <w:lang w:val="fr-CA"/>
        </w:rPr>
        <w:t xml:space="preserve">Choisissez un cas d’enseignement </w:t>
      </w:r>
      <w:r w:rsidRPr="00254DBC">
        <w:rPr>
          <w:lang w:val="fr-CA"/>
        </w:rPr>
        <w:t>survenu dans les quatre dernières semaines et décrivez-le en deux ou trois phrases.</w:t>
      </w: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254DBC" w:rsidP="00254DBC">
      <w:pPr>
        <w:pStyle w:val="ListParagraph"/>
        <w:numPr>
          <w:ilvl w:val="0"/>
          <w:numId w:val="15"/>
        </w:numPr>
        <w:snapToGrid/>
        <w:spacing w:after="0"/>
        <w:contextualSpacing/>
        <w:rPr>
          <w:rFonts w:eastAsia="Times New Roman"/>
          <w:lang w:val="fr-CA"/>
        </w:rPr>
      </w:pPr>
      <w:r w:rsidRPr="00254DBC">
        <w:rPr>
          <w:rFonts w:eastAsia="Times New Roman"/>
          <w:b/>
          <w:lang w:val="fr-CA"/>
        </w:rPr>
        <w:t>Décrivez les apprenants</w:t>
      </w:r>
      <w:r w:rsidRPr="00254DBC">
        <w:rPr>
          <w:rFonts w:eastAsia="Times New Roman"/>
          <w:lang w:val="fr-CA"/>
        </w:rPr>
        <w:t xml:space="preserve"> (nombre, niveau, besoins d’apprentissage, caractéristiques, style, motivation, etc.).</w:t>
      </w: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254DBC" w:rsidP="00254DBC">
      <w:pPr>
        <w:pStyle w:val="ListParagraph"/>
        <w:numPr>
          <w:ilvl w:val="0"/>
          <w:numId w:val="15"/>
        </w:numPr>
        <w:snapToGrid/>
        <w:spacing w:after="0"/>
        <w:contextualSpacing/>
        <w:rPr>
          <w:rFonts w:eastAsia="Times New Roman"/>
          <w:lang w:val="fr-CA"/>
        </w:rPr>
      </w:pPr>
      <w:r w:rsidRPr="00254DBC">
        <w:rPr>
          <w:rFonts w:eastAsia="Times New Roman"/>
          <w:b/>
          <w:bCs/>
          <w:lang w:val="fr-CA"/>
        </w:rPr>
        <w:t xml:space="preserve">Décrivez l’enseignant </w:t>
      </w:r>
      <w:r w:rsidRPr="00254DBC">
        <w:rPr>
          <w:rFonts w:eastAsia="Times New Roman"/>
          <w:lang w:val="fr-CA"/>
        </w:rPr>
        <w:t>(s’il a enseigné seul ou en équipe, ses stratégies, son approche, etc.).</w:t>
      </w: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254DBC" w:rsidP="00254DBC">
      <w:pPr>
        <w:pStyle w:val="ListParagraph"/>
        <w:numPr>
          <w:ilvl w:val="0"/>
          <w:numId w:val="15"/>
        </w:numPr>
        <w:snapToGrid/>
        <w:spacing w:after="0"/>
        <w:contextualSpacing/>
        <w:rPr>
          <w:rFonts w:eastAsia="Times New Roman"/>
          <w:lang w:val="fr-CA"/>
        </w:rPr>
      </w:pPr>
      <w:r w:rsidRPr="00254DBC">
        <w:rPr>
          <w:rFonts w:eastAsia="Times New Roman"/>
          <w:b/>
          <w:bCs/>
          <w:lang w:val="fr-CA"/>
        </w:rPr>
        <w:t xml:space="preserve">Décrivez le contenu </w:t>
      </w:r>
      <w:r w:rsidRPr="00254DBC">
        <w:rPr>
          <w:rFonts w:eastAsia="Times New Roman"/>
          <w:lang w:val="fr-CA"/>
        </w:rPr>
        <w:t>(ce qui a été enseigné/appris, les buts et objectifs, les priorités des apprenants, leurs progrès, le climat d’apprentissage, la rétroaction offerte aux apprenants, l’évaluation de ces derniers, la rétroaction à l’enseignant, etc.).</w:t>
      </w: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8B0FEF" w:rsidRPr="00254DBC" w:rsidRDefault="008B0FEF" w:rsidP="00BF4E7C">
      <w:pPr>
        <w:rPr>
          <w:rFonts w:eastAsia="Times New Roman"/>
          <w:lang w:val="fr-CA"/>
        </w:rPr>
      </w:pPr>
    </w:p>
    <w:p w:rsidR="00BF4E7C" w:rsidRPr="00254DBC" w:rsidRDefault="00254DBC" w:rsidP="00BF4E7C">
      <w:pPr>
        <w:pStyle w:val="ListParagraph"/>
        <w:numPr>
          <w:ilvl w:val="0"/>
          <w:numId w:val="15"/>
        </w:numPr>
        <w:snapToGrid/>
        <w:spacing w:after="0"/>
        <w:contextualSpacing/>
        <w:rPr>
          <w:rFonts w:eastAsia="Times New Roman"/>
          <w:lang w:val="fr-CA"/>
        </w:rPr>
      </w:pPr>
      <w:r w:rsidRPr="00254DBC">
        <w:rPr>
          <w:rFonts w:eastAsia="Times New Roman"/>
          <w:b/>
          <w:bCs/>
          <w:lang w:val="fr-CA"/>
        </w:rPr>
        <w:t xml:space="preserve">Décrivez le contexte d’apprentissage/d’enseignement </w:t>
      </w:r>
      <w:r w:rsidRPr="00254DBC">
        <w:rPr>
          <w:rFonts w:eastAsia="Times New Roman"/>
          <w:lang w:val="fr-CA"/>
        </w:rPr>
        <w:t>(clinique ambulatoire, salle d’opération, laboratoire).</w:t>
      </w: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BF4E7C" w:rsidP="00BF4E7C">
      <w:pPr>
        <w:rPr>
          <w:rFonts w:eastAsia="Times New Roman"/>
          <w:lang w:val="fr-CA"/>
        </w:rPr>
      </w:pPr>
    </w:p>
    <w:p w:rsidR="00BF4E7C" w:rsidRPr="00254DBC" w:rsidRDefault="00254DBC" w:rsidP="00BF4E7C">
      <w:pPr>
        <w:pStyle w:val="ListParagraph"/>
        <w:numPr>
          <w:ilvl w:val="0"/>
          <w:numId w:val="15"/>
        </w:numPr>
        <w:autoSpaceDE w:val="0"/>
        <w:autoSpaceDN w:val="0"/>
        <w:snapToGrid/>
        <w:spacing w:after="0"/>
        <w:contextualSpacing/>
        <w:rPr>
          <w:rFonts w:eastAsiaTheme="minorEastAsia" w:cs="AGaramondPro-Regular"/>
          <w:lang w:val="fr-CA" w:eastAsia="ja-JP"/>
        </w:rPr>
      </w:pPr>
      <w:r w:rsidRPr="00254DBC">
        <w:rPr>
          <w:rFonts w:eastAsiaTheme="minorEastAsia" w:cs="AGaramondPro-Regular"/>
          <w:lang w:val="fr-CA" w:eastAsia="ja-JP"/>
        </w:rPr>
        <w:t>Remplissez le tableau ci-dessous concernant le cas décrit. (Le tableau peut être rempli par l’enseignant ou par un apprenant.)</w:t>
      </w:r>
    </w:p>
    <w:p w:rsidR="00BF4E7C" w:rsidRPr="00254DBC" w:rsidRDefault="00BF4E7C" w:rsidP="00BF4E7C">
      <w:pPr>
        <w:autoSpaceDE w:val="0"/>
        <w:autoSpaceDN w:val="0"/>
        <w:snapToGrid/>
        <w:spacing w:after="0"/>
        <w:contextualSpacing/>
        <w:rPr>
          <w:rFonts w:eastAsiaTheme="minorEastAsia" w:cs="AGaramondPro-Regular"/>
          <w:lang w:val="fr-CA" w:eastAsia="ja-JP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42"/>
        <w:gridCol w:w="2176"/>
        <w:gridCol w:w="2164"/>
        <w:gridCol w:w="2144"/>
        <w:gridCol w:w="2164"/>
      </w:tblGrid>
      <w:tr w:rsidR="00254DBC" w:rsidRPr="0036002D" w:rsidTr="00BF4E7C">
        <w:tc>
          <w:tcPr>
            <w:tcW w:w="2203" w:type="dxa"/>
          </w:tcPr>
          <w:p w:rsidR="00BF4E7C" w:rsidRPr="0036002D" w:rsidRDefault="00BF4E7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r w:rsidRPr="0036002D">
              <w:rPr>
                <w:rFonts w:eastAsiaTheme="minorEastAsia"/>
                <w:lang w:eastAsia="ja-JP"/>
              </w:rPr>
              <w:t>1</w:t>
            </w:r>
          </w:p>
          <w:p w:rsidR="00BF4E7C" w:rsidRPr="0036002D" w:rsidRDefault="00254DB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proofErr w:type="spellStart"/>
            <w:r w:rsidRPr="00254DBC">
              <w:rPr>
                <w:rFonts w:eastAsiaTheme="minorEastAsia"/>
                <w:lang w:eastAsia="ja-JP"/>
              </w:rPr>
              <w:t>Faible</w:t>
            </w:r>
            <w:proofErr w:type="spellEnd"/>
          </w:p>
        </w:tc>
        <w:tc>
          <w:tcPr>
            <w:tcW w:w="2203" w:type="dxa"/>
          </w:tcPr>
          <w:p w:rsidR="00BF4E7C" w:rsidRPr="0036002D" w:rsidRDefault="00BF4E7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r w:rsidRPr="0036002D">
              <w:rPr>
                <w:rFonts w:eastAsiaTheme="minorEastAsia"/>
                <w:lang w:eastAsia="ja-JP"/>
              </w:rPr>
              <w:t>2</w:t>
            </w:r>
          </w:p>
          <w:p w:rsidR="00BF4E7C" w:rsidRPr="0036002D" w:rsidRDefault="00254DB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proofErr w:type="spellStart"/>
            <w:r w:rsidRPr="00254DBC">
              <w:rPr>
                <w:rFonts w:eastAsiaTheme="minorEastAsia"/>
                <w:lang w:eastAsia="ja-JP"/>
              </w:rPr>
              <w:t>Besoin</w:t>
            </w:r>
            <w:proofErr w:type="spellEnd"/>
            <w:r w:rsidRPr="00254DBC">
              <w:rPr>
                <w:rFonts w:eastAsiaTheme="minorEastAsia"/>
                <w:lang w:eastAsia="ja-JP"/>
              </w:rPr>
              <w:t xml:space="preserve"> </w:t>
            </w:r>
            <w:proofErr w:type="spellStart"/>
            <w:r w:rsidRPr="00254DBC">
              <w:rPr>
                <w:rFonts w:eastAsiaTheme="minorEastAsia"/>
                <w:lang w:eastAsia="ja-JP"/>
              </w:rPr>
              <w:t>d’amélioration</w:t>
            </w:r>
            <w:proofErr w:type="spellEnd"/>
            <w:r>
              <w:rPr>
                <w:rFonts w:eastAsiaTheme="minorEastAsia"/>
                <w:lang w:eastAsia="ja-JP"/>
              </w:rPr>
              <w:t xml:space="preserve"> </w:t>
            </w:r>
          </w:p>
        </w:tc>
        <w:tc>
          <w:tcPr>
            <w:tcW w:w="2203" w:type="dxa"/>
          </w:tcPr>
          <w:p w:rsidR="00BF4E7C" w:rsidRPr="0036002D" w:rsidRDefault="00BF4E7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r w:rsidRPr="0036002D">
              <w:rPr>
                <w:rFonts w:eastAsiaTheme="minorEastAsia"/>
                <w:lang w:eastAsia="ja-JP"/>
              </w:rPr>
              <w:t>3</w:t>
            </w:r>
          </w:p>
          <w:p w:rsidR="00BF4E7C" w:rsidRPr="0036002D" w:rsidRDefault="00254DB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r w:rsidRPr="00254DBC">
              <w:rPr>
                <w:rFonts w:eastAsiaTheme="minorEastAsia"/>
                <w:lang w:eastAsia="ja-JP"/>
              </w:rPr>
              <w:t>Satisfaisant</w:t>
            </w:r>
          </w:p>
        </w:tc>
        <w:tc>
          <w:tcPr>
            <w:tcW w:w="2203" w:type="dxa"/>
          </w:tcPr>
          <w:p w:rsidR="00BF4E7C" w:rsidRPr="0036002D" w:rsidRDefault="00BF4E7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r w:rsidRPr="0036002D">
              <w:rPr>
                <w:rFonts w:eastAsiaTheme="minorEastAsia"/>
                <w:lang w:eastAsia="ja-JP"/>
              </w:rPr>
              <w:t>4</w:t>
            </w:r>
          </w:p>
          <w:p w:rsidR="00BF4E7C" w:rsidRPr="0036002D" w:rsidRDefault="00254DB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r w:rsidRPr="00254DBC">
              <w:rPr>
                <w:rFonts w:eastAsiaTheme="minorEastAsia"/>
                <w:lang w:eastAsia="ja-JP"/>
              </w:rPr>
              <w:t>Habile</w:t>
            </w:r>
          </w:p>
        </w:tc>
        <w:tc>
          <w:tcPr>
            <w:tcW w:w="2204" w:type="dxa"/>
          </w:tcPr>
          <w:p w:rsidR="00BF4E7C" w:rsidRPr="0036002D" w:rsidRDefault="00BF4E7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proofErr w:type="spellStart"/>
            <w:r w:rsidRPr="0036002D">
              <w:rPr>
                <w:rFonts w:eastAsiaTheme="minorEastAsia"/>
                <w:lang w:eastAsia="ja-JP"/>
              </w:rPr>
              <w:t>5</w:t>
            </w:r>
            <w:proofErr w:type="spellEnd"/>
          </w:p>
          <w:p w:rsidR="00BF4E7C" w:rsidRPr="0036002D" w:rsidRDefault="00254DBC" w:rsidP="00BF4E7C">
            <w:pPr>
              <w:pStyle w:val="ChartHead"/>
              <w:jc w:val="center"/>
              <w:rPr>
                <w:rFonts w:eastAsiaTheme="minorEastAsia"/>
                <w:lang w:eastAsia="ja-JP"/>
              </w:rPr>
            </w:pPr>
            <w:proofErr w:type="spellStart"/>
            <w:r w:rsidRPr="00254DBC">
              <w:rPr>
                <w:rFonts w:eastAsiaTheme="minorEastAsia"/>
                <w:lang w:eastAsia="ja-JP"/>
              </w:rPr>
              <w:t>Exemplaire</w:t>
            </w:r>
            <w:proofErr w:type="spellEnd"/>
          </w:p>
        </w:tc>
      </w:tr>
    </w:tbl>
    <w:p w:rsidR="00BF4E7C" w:rsidRDefault="00BF4E7C" w:rsidP="00BF4E7C">
      <w:pPr>
        <w:autoSpaceDE w:val="0"/>
        <w:autoSpaceDN w:val="0"/>
        <w:snapToGrid/>
        <w:spacing w:after="0"/>
        <w:contextualSpacing/>
        <w:rPr>
          <w:rFonts w:eastAsiaTheme="minorEastAsia" w:cs="AGaramondPro-Regular"/>
          <w:lang w:eastAsia="ja-JP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05"/>
        <w:gridCol w:w="1702"/>
        <w:gridCol w:w="3283"/>
      </w:tblGrid>
      <w:tr w:rsidR="00B45FAB" w:rsidRPr="0036002D" w:rsidTr="00BF4E7C">
        <w:tc>
          <w:tcPr>
            <w:tcW w:w="5958" w:type="dxa"/>
          </w:tcPr>
          <w:p w:rsidR="00BF4E7C" w:rsidRPr="0036002D" w:rsidRDefault="00254DBC" w:rsidP="00BF4E7C">
            <w:pPr>
              <w:pStyle w:val="ChartBodyLeft"/>
              <w:jc w:val="center"/>
            </w:pPr>
            <w:r w:rsidRPr="00254DBC">
              <w:t>CRITÈRES</w:t>
            </w:r>
          </w:p>
        </w:tc>
        <w:tc>
          <w:tcPr>
            <w:tcW w:w="1710" w:type="dxa"/>
          </w:tcPr>
          <w:p w:rsidR="00254DBC" w:rsidRPr="00B45FAB" w:rsidRDefault="00254DBC" w:rsidP="00254DBC">
            <w:pPr>
              <w:pStyle w:val="ChartBodyLeft"/>
              <w:jc w:val="center"/>
              <w:rPr>
                <w:lang w:val="en-US"/>
              </w:rPr>
            </w:pPr>
            <w:proofErr w:type="spellStart"/>
            <w:r w:rsidRPr="00B45FAB">
              <w:rPr>
                <w:lang w:val="en-US"/>
              </w:rPr>
              <w:t>Cotez</w:t>
            </w:r>
            <w:proofErr w:type="spellEnd"/>
            <w:r w:rsidRPr="00B45FAB">
              <w:rPr>
                <w:lang w:val="en-US"/>
              </w:rPr>
              <w:t xml:space="preserve"> la</w:t>
            </w:r>
          </w:p>
          <w:p w:rsidR="00254DBC" w:rsidRPr="00B45FAB" w:rsidRDefault="00254DBC" w:rsidP="00254DBC">
            <w:pPr>
              <w:pStyle w:val="ChartBodyLeft"/>
              <w:jc w:val="center"/>
              <w:rPr>
                <w:lang w:val="en-US"/>
              </w:rPr>
            </w:pPr>
            <w:r w:rsidRPr="00B45FAB">
              <w:rPr>
                <w:lang w:val="en-US"/>
              </w:rPr>
              <w:t>performance,</w:t>
            </w:r>
          </w:p>
          <w:p w:rsidR="00254DBC" w:rsidRPr="00B45FAB" w:rsidRDefault="00254DBC" w:rsidP="00254DBC">
            <w:pPr>
              <w:pStyle w:val="ChartBodyLeft"/>
              <w:jc w:val="center"/>
              <w:rPr>
                <w:lang w:val="en-US"/>
              </w:rPr>
            </w:pPr>
            <w:proofErr w:type="spellStart"/>
            <w:r w:rsidRPr="00B45FAB">
              <w:rPr>
                <w:lang w:val="en-US"/>
              </w:rPr>
              <w:t>illustrez</w:t>
            </w:r>
            <w:proofErr w:type="spellEnd"/>
            <w:r w:rsidRPr="00B45FAB">
              <w:rPr>
                <w:lang w:val="en-US"/>
              </w:rPr>
              <w:t xml:space="preserve"> et</w:t>
            </w:r>
          </w:p>
          <w:p w:rsidR="00BF4E7C" w:rsidRPr="0036002D" w:rsidRDefault="00254DBC" w:rsidP="00254DBC">
            <w:pPr>
              <w:pStyle w:val="ChartBodyLeft"/>
              <w:jc w:val="center"/>
            </w:pPr>
            <w:proofErr w:type="spellStart"/>
            <w:r w:rsidRPr="00B45FAB">
              <w:rPr>
                <w:lang w:val="en-US"/>
              </w:rPr>
              <w:t>expliquez</w:t>
            </w:r>
            <w:proofErr w:type="spellEnd"/>
          </w:p>
        </w:tc>
        <w:tc>
          <w:tcPr>
            <w:tcW w:w="3348" w:type="dxa"/>
          </w:tcPr>
          <w:p w:rsidR="00BF4E7C" w:rsidRPr="0036002D" w:rsidRDefault="00254DBC" w:rsidP="00BF4E7C">
            <w:pPr>
              <w:pStyle w:val="ChartBodyLeft"/>
              <w:jc w:val="center"/>
            </w:pPr>
            <w:proofErr w:type="spellStart"/>
            <w:r w:rsidRPr="00254DBC">
              <w:t>Domaines</w:t>
            </w:r>
            <w:proofErr w:type="spellEnd"/>
            <w:r w:rsidRPr="00254DBC">
              <w:t xml:space="preserve"> </w:t>
            </w:r>
            <w:proofErr w:type="spellStart"/>
            <w:r w:rsidRPr="00254DBC">
              <w:t>ou</w:t>
            </w:r>
            <w:proofErr w:type="spellEnd"/>
            <w:r w:rsidRPr="00254DBC">
              <w:t xml:space="preserve"> </w:t>
            </w:r>
            <w:proofErr w:type="spellStart"/>
            <w:r w:rsidRPr="00254DBC">
              <w:t>idées</w:t>
            </w:r>
            <w:proofErr w:type="spellEnd"/>
            <w:r w:rsidRPr="00254DBC">
              <w:t xml:space="preserve"> </w:t>
            </w:r>
            <w:proofErr w:type="spellStart"/>
            <w:r w:rsidRPr="00254DBC">
              <w:t>d’amélioration</w:t>
            </w:r>
            <w:proofErr w:type="spellEnd"/>
            <w:r>
              <w:t xml:space="preserve"> </w:t>
            </w:r>
          </w:p>
        </w:tc>
      </w:tr>
      <w:tr w:rsidR="00B45FAB" w:rsidRPr="00B45FAB" w:rsidTr="00BF4E7C">
        <w:tc>
          <w:tcPr>
            <w:tcW w:w="5958" w:type="dxa"/>
          </w:tcPr>
          <w:p w:rsidR="00BF4E7C" w:rsidRPr="00B45FAB" w:rsidRDefault="00BF4E7C" w:rsidP="00BF4E7C">
            <w:pPr>
              <w:pStyle w:val="ChartHead"/>
              <w:rPr>
                <w:rFonts w:eastAsiaTheme="minorEastAsia"/>
                <w:lang w:val="fr-CA" w:eastAsia="ja-JP"/>
              </w:rPr>
            </w:pPr>
            <w:r w:rsidRPr="00B45FAB">
              <w:rPr>
                <w:rFonts w:eastAsiaTheme="minorEastAsia"/>
                <w:lang w:val="fr-CA" w:eastAsia="ja-JP"/>
              </w:rPr>
              <w:t xml:space="preserve">1. </w:t>
            </w:r>
            <w:r w:rsidR="00B45FAB" w:rsidRPr="00B45FAB">
              <w:rPr>
                <w:rFonts w:eastAsiaTheme="minorEastAsia"/>
                <w:lang w:val="fr-CA" w:eastAsia="ja-JP"/>
              </w:rPr>
              <w:t>Définition des objectifs</w:t>
            </w:r>
          </w:p>
          <w:p w:rsidR="00BF4E7C" w:rsidRPr="00B45FAB" w:rsidRDefault="00B45FAB" w:rsidP="00BF4E7C">
            <w:pPr>
              <w:pStyle w:val="ChartHead"/>
              <w:rPr>
                <w:rFonts w:eastAsiaTheme="minorEastAsia" w:cs="Frutiger-BoldItalic"/>
                <w:i/>
                <w:iCs/>
                <w:lang w:val="fr-CA" w:eastAsia="ja-JP"/>
              </w:rPr>
            </w:pPr>
            <w:r w:rsidRPr="00B45FAB">
              <w:rPr>
                <w:rFonts w:eastAsiaTheme="minorEastAsia" w:cs="Frutiger-BoldItalic"/>
                <w:i/>
                <w:iCs/>
                <w:lang w:val="fr-CA" w:eastAsia="ja-JP"/>
              </w:rPr>
              <w:t>Le résident pédagogue a-t-il :</w:t>
            </w:r>
          </w:p>
          <w:p w:rsidR="00BF4E7C" w:rsidRPr="00B45FAB" w:rsidRDefault="00BF4E7C" w:rsidP="00BF4E7C">
            <w:pPr>
              <w:pStyle w:val="ChartBodyLeft"/>
              <w:rPr>
                <w:rFonts w:eastAsia="Times New Roman"/>
                <w:lang w:val="fr-CA"/>
              </w:rPr>
            </w:pPr>
            <w:r w:rsidRPr="00B45FAB">
              <w:rPr>
                <w:lang w:val="fr-CA" w:eastAsia="ja-JP"/>
              </w:rPr>
              <w:t xml:space="preserve">• </w:t>
            </w:r>
            <w:r w:rsidR="00B45FAB" w:rsidRPr="00B45FAB">
              <w:rPr>
                <w:lang w:val="fr-CA" w:eastAsia="ja-JP"/>
              </w:rPr>
              <w:t>discuté de l’objet de l’enseignement, des buts et objectifs du stage, de la journée, de l’activité?</w:t>
            </w:r>
          </w:p>
        </w:tc>
        <w:tc>
          <w:tcPr>
            <w:tcW w:w="1710" w:type="dxa"/>
          </w:tcPr>
          <w:p w:rsidR="00BF4E7C" w:rsidRPr="00B45FAB" w:rsidRDefault="00BF4E7C" w:rsidP="00DE63C3">
            <w:pPr>
              <w:rPr>
                <w:rFonts w:eastAsia="Times New Roman"/>
                <w:sz w:val="20"/>
                <w:szCs w:val="20"/>
                <w:lang w:val="fr-CA"/>
              </w:rPr>
            </w:pPr>
          </w:p>
        </w:tc>
        <w:tc>
          <w:tcPr>
            <w:tcW w:w="3348" w:type="dxa"/>
          </w:tcPr>
          <w:p w:rsidR="00BF4E7C" w:rsidRPr="00B45FAB" w:rsidRDefault="00BF4E7C" w:rsidP="00DE63C3">
            <w:pPr>
              <w:rPr>
                <w:rFonts w:eastAsia="Times New Roman"/>
                <w:sz w:val="20"/>
                <w:szCs w:val="20"/>
                <w:lang w:val="fr-CA"/>
              </w:rPr>
            </w:pPr>
          </w:p>
        </w:tc>
      </w:tr>
      <w:tr w:rsidR="00B45FAB" w:rsidRPr="00B45FAB" w:rsidTr="00BF4E7C">
        <w:tc>
          <w:tcPr>
            <w:tcW w:w="5958" w:type="dxa"/>
          </w:tcPr>
          <w:p w:rsidR="00BF4E7C" w:rsidRPr="00B45FAB" w:rsidRDefault="00BF4E7C" w:rsidP="00BF4E7C">
            <w:pPr>
              <w:pStyle w:val="ChartHead"/>
              <w:rPr>
                <w:rFonts w:eastAsiaTheme="minorEastAsia"/>
                <w:lang w:val="fr-CA" w:eastAsia="ja-JP"/>
              </w:rPr>
            </w:pPr>
            <w:r w:rsidRPr="00B45FAB">
              <w:rPr>
                <w:rFonts w:eastAsiaTheme="minorEastAsia"/>
                <w:lang w:val="fr-CA" w:eastAsia="ja-JP"/>
              </w:rPr>
              <w:t xml:space="preserve">2. </w:t>
            </w:r>
            <w:r w:rsidR="00B45FAB" w:rsidRPr="00B45FAB">
              <w:rPr>
                <w:rFonts w:eastAsiaTheme="minorEastAsia"/>
                <w:lang w:val="fr-CA" w:eastAsia="ja-JP"/>
              </w:rPr>
              <w:t>Mise en pratique des compétences</w:t>
            </w:r>
          </w:p>
          <w:p w:rsidR="00BF4E7C" w:rsidRPr="00B45FAB" w:rsidRDefault="00B45FAB" w:rsidP="00BF4E7C">
            <w:pPr>
              <w:pStyle w:val="ChartHead"/>
              <w:rPr>
                <w:rFonts w:eastAsiaTheme="minorEastAsia" w:cs="Frutiger-BoldItalic"/>
                <w:i/>
                <w:iCs/>
                <w:lang w:val="fr-CA" w:eastAsia="ja-JP"/>
              </w:rPr>
            </w:pPr>
            <w:r w:rsidRPr="00B45FAB">
              <w:rPr>
                <w:rFonts w:eastAsiaTheme="minorEastAsia" w:cs="Frutiger-BoldItalic"/>
                <w:i/>
                <w:iCs/>
                <w:lang w:val="fr-CA" w:eastAsia="ja-JP"/>
              </w:rPr>
              <w:t>Le résident pédagogue a-t-il :</w:t>
            </w:r>
          </w:p>
          <w:p w:rsidR="00B45FAB" w:rsidRPr="00B45FAB" w:rsidRDefault="00BF4E7C" w:rsidP="00B45FAB">
            <w:pPr>
              <w:pStyle w:val="ChartBodyLeft"/>
              <w:rPr>
                <w:lang w:val="fr-CA" w:eastAsia="ja-JP"/>
              </w:rPr>
            </w:pPr>
            <w:r w:rsidRPr="00B45FAB">
              <w:rPr>
                <w:lang w:val="fr-CA" w:eastAsia="ja-JP"/>
              </w:rPr>
              <w:t xml:space="preserve">• </w:t>
            </w:r>
            <w:r w:rsidR="00B45FAB" w:rsidRPr="00B45FAB">
              <w:rPr>
                <w:lang w:val="fr-CA" w:eastAsia="ja-JP"/>
              </w:rPr>
              <w:t>utilisé une approche centrée sur l’apprenant?</w:t>
            </w:r>
          </w:p>
          <w:p w:rsidR="00B45FAB" w:rsidRPr="00B45FAB" w:rsidRDefault="00B45FAB" w:rsidP="00B45FAB">
            <w:pPr>
              <w:pStyle w:val="ChartBodyLeft"/>
              <w:rPr>
                <w:lang w:val="fr-CA" w:eastAsia="ja-JP"/>
              </w:rPr>
            </w:pPr>
            <w:r w:rsidRPr="00B45FAB">
              <w:rPr>
                <w:lang w:val="fr-CA" w:eastAsia="ja-JP"/>
              </w:rPr>
              <w:t>• confirmé le niveau de compétence dès le début?</w:t>
            </w:r>
          </w:p>
          <w:p w:rsidR="00BF4E7C" w:rsidRPr="00B45FAB" w:rsidRDefault="00B45FAB" w:rsidP="00BF4E7C">
            <w:pPr>
              <w:pStyle w:val="ChartBodyLeft"/>
              <w:rPr>
                <w:rFonts w:eastAsia="Times New Roman"/>
                <w:lang w:val="fr-CA"/>
              </w:rPr>
            </w:pPr>
            <w:r w:rsidRPr="00B45FAB">
              <w:rPr>
                <w:lang w:val="fr-CA" w:eastAsia="ja-JP"/>
              </w:rPr>
              <w:t>• utilisé l’évaluation pour appuyer son enseignement?</w:t>
            </w:r>
          </w:p>
        </w:tc>
        <w:tc>
          <w:tcPr>
            <w:tcW w:w="1710" w:type="dxa"/>
          </w:tcPr>
          <w:p w:rsidR="00BF4E7C" w:rsidRPr="00B45FAB" w:rsidRDefault="00BF4E7C" w:rsidP="00DE63C3">
            <w:pPr>
              <w:rPr>
                <w:rFonts w:eastAsia="Times New Roman"/>
                <w:sz w:val="20"/>
                <w:szCs w:val="20"/>
                <w:lang w:val="fr-CA"/>
              </w:rPr>
            </w:pPr>
          </w:p>
        </w:tc>
        <w:tc>
          <w:tcPr>
            <w:tcW w:w="3348" w:type="dxa"/>
          </w:tcPr>
          <w:p w:rsidR="00BF4E7C" w:rsidRPr="00B45FAB" w:rsidRDefault="00BF4E7C" w:rsidP="00DE63C3">
            <w:pPr>
              <w:rPr>
                <w:rFonts w:eastAsia="Times New Roman"/>
                <w:sz w:val="20"/>
                <w:szCs w:val="20"/>
                <w:lang w:val="fr-CA"/>
              </w:rPr>
            </w:pPr>
          </w:p>
        </w:tc>
      </w:tr>
      <w:tr w:rsidR="00B45FAB" w:rsidRPr="00B45FAB" w:rsidTr="00BF4E7C">
        <w:tc>
          <w:tcPr>
            <w:tcW w:w="5958" w:type="dxa"/>
          </w:tcPr>
          <w:p w:rsidR="00BF4E7C" w:rsidRPr="00B02F8A" w:rsidRDefault="00BF4E7C" w:rsidP="00BF4E7C">
            <w:pPr>
              <w:pStyle w:val="ChartHead"/>
              <w:rPr>
                <w:rFonts w:eastAsiaTheme="minorEastAsia"/>
                <w:lang w:eastAsia="ja-JP"/>
              </w:rPr>
            </w:pPr>
            <w:r w:rsidRPr="00B02F8A">
              <w:rPr>
                <w:rFonts w:eastAsiaTheme="minorEastAsia"/>
                <w:lang w:eastAsia="ja-JP"/>
              </w:rPr>
              <w:t xml:space="preserve">3. </w:t>
            </w:r>
            <w:proofErr w:type="spellStart"/>
            <w:r w:rsidR="00B45FAB" w:rsidRPr="00B45FAB">
              <w:rPr>
                <w:rFonts w:eastAsiaTheme="minorEastAsia"/>
                <w:lang w:eastAsia="ja-JP"/>
              </w:rPr>
              <w:t>Rétroaction</w:t>
            </w:r>
            <w:proofErr w:type="spellEnd"/>
          </w:p>
          <w:p w:rsidR="00BF4E7C" w:rsidRPr="00B45FAB" w:rsidRDefault="00B45FAB" w:rsidP="00BF4E7C">
            <w:pPr>
              <w:pStyle w:val="ChartHead"/>
              <w:rPr>
                <w:rFonts w:eastAsiaTheme="minorEastAsia" w:cs="Frutiger-BoldItalic"/>
                <w:i/>
                <w:iCs/>
                <w:lang w:val="fr-CA" w:eastAsia="ja-JP"/>
              </w:rPr>
            </w:pPr>
            <w:r w:rsidRPr="00B45FAB">
              <w:rPr>
                <w:rFonts w:eastAsiaTheme="minorEastAsia" w:cs="Frutiger-BoldItalic"/>
                <w:i/>
                <w:iCs/>
                <w:lang w:val="fr-CA" w:eastAsia="ja-JP"/>
              </w:rPr>
              <w:t>Le résident pédagogue a-t-il :</w:t>
            </w:r>
          </w:p>
          <w:p w:rsidR="00B45FAB" w:rsidRPr="00B45FAB" w:rsidRDefault="00BF4E7C" w:rsidP="00B45FAB">
            <w:pPr>
              <w:pStyle w:val="ChartBodyLeft"/>
              <w:rPr>
                <w:lang w:val="fr-CA" w:eastAsia="ja-JP"/>
              </w:rPr>
            </w:pPr>
            <w:r w:rsidRPr="00B45FAB">
              <w:rPr>
                <w:lang w:val="fr-CA" w:eastAsia="ja-JP"/>
              </w:rPr>
              <w:t xml:space="preserve">• </w:t>
            </w:r>
            <w:r w:rsidR="00B45FAB" w:rsidRPr="00B45FAB">
              <w:rPr>
                <w:lang w:val="fr-CA" w:eastAsia="ja-JP"/>
              </w:rPr>
              <w:t>appuyé l’engagement et la motivation des apprenants, suivi le progrès, effectué des évaluations sommatives, etc.?</w:t>
            </w:r>
          </w:p>
          <w:p w:rsidR="00B45FAB" w:rsidRPr="00B45FAB" w:rsidRDefault="00B45FAB" w:rsidP="00B45FAB">
            <w:pPr>
              <w:pStyle w:val="ChartBodyLeft"/>
              <w:rPr>
                <w:lang w:val="fr-CA" w:eastAsia="ja-JP"/>
              </w:rPr>
            </w:pPr>
            <w:r w:rsidRPr="00B45FAB">
              <w:rPr>
                <w:lang w:val="fr-CA" w:eastAsia="ja-JP"/>
              </w:rPr>
              <w:t>• favorisé un climat d’apprentissage positif?</w:t>
            </w:r>
          </w:p>
          <w:p w:rsidR="00BF4E7C" w:rsidRPr="00B45FAB" w:rsidRDefault="00B45FAB" w:rsidP="00BF4E7C">
            <w:pPr>
              <w:pStyle w:val="ChartBodyLeft"/>
              <w:rPr>
                <w:rFonts w:eastAsia="Times New Roman"/>
                <w:lang w:val="fr-CA"/>
              </w:rPr>
            </w:pPr>
            <w:r w:rsidRPr="00B45FAB">
              <w:rPr>
                <w:lang w:val="fr-CA" w:eastAsia="ja-JP"/>
              </w:rPr>
              <w:t>• offert de la rétroaction ciblée et opportune?</w:t>
            </w:r>
          </w:p>
        </w:tc>
        <w:tc>
          <w:tcPr>
            <w:tcW w:w="1710" w:type="dxa"/>
          </w:tcPr>
          <w:p w:rsidR="00BF4E7C" w:rsidRPr="00B45FAB" w:rsidRDefault="00BF4E7C" w:rsidP="00DE63C3">
            <w:pPr>
              <w:rPr>
                <w:rFonts w:eastAsia="Times New Roman"/>
                <w:sz w:val="20"/>
                <w:szCs w:val="20"/>
                <w:lang w:val="fr-CA"/>
              </w:rPr>
            </w:pPr>
          </w:p>
        </w:tc>
        <w:tc>
          <w:tcPr>
            <w:tcW w:w="3348" w:type="dxa"/>
          </w:tcPr>
          <w:p w:rsidR="00BF4E7C" w:rsidRPr="00B45FAB" w:rsidRDefault="00BF4E7C" w:rsidP="00DE63C3">
            <w:pPr>
              <w:rPr>
                <w:rFonts w:eastAsia="Times New Roman"/>
                <w:sz w:val="20"/>
                <w:szCs w:val="20"/>
                <w:lang w:val="fr-CA"/>
              </w:rPr>
            </w:pPr>
          </w:p>
        </w:tc>
      </w:tr>
      <w:tr w:rsidR="00B45FAB" w:rsidRPr="00B45FAB" w:rsidTr="00BF4E7C">
        <w:tc>
          <w:tcPr>
            <w:tcW w:w="5958" w:type="dxa"/>
          </w:tcPr>
          <w:p w:rsidR="00BF4E7C" w:rsidRPr="00B45FAB" w:rsidRDefault="00BF4E7C" w:rsidP="00BF4E7C">
            <w:pPr>
              <w:pStyle w:val="ChartHead"/>
              <w:rPr>
                <w:rFonts w:eastAsiaTheme="minorEastAsia"/>
                <w:lang w:val="en-US" w:eastAsia="ja-JP"/>
              </w:rPr>
            </w:pPr>
            <w:r w:rsidRPr="00B45FAB">
              <w:rPr>
                <w:rFonts w:eastAsiaTheme="minorEastAsia"/>
                <w:lang w:val="en-US" w:eastAsia="ja-JP"/>
              </w:rPr>
              <w:t xml:space="preserve">4. </w:t>
            </w:r>
            <w:proofErr w:type="spellStart"/>
            <w:r w:rsidR="00B45FAB" w:rsidRPr="00B45FAB">
              <w:rPr>
                <w:rFonts w:eastAsiaTheme="minorEastAsia"/>
                <w:lang w:val="en-US" w:eastAsia="ja-JP"/>
              </w:rPr>
              <w:t>Réflexion</w:t>
            </w:r>
            <w:proofErr w:type="spellEnd"/>
            <w:r w:rsidR="00B45FAB" w:rsidRPr="00B45FAB">
              <w:rPr>
                <w:rFonts w:eastAsiaTheme="minorEastAsia"/>
                <w:lang w:val="en-US" w:eastAsia="ja-JP"/>
              </w:rPr>
              <w:t xml:space="preserve"> et performance</w:t>
            </w:r>
          </w:p>
          <w:p w:rsidR="00BF4E7C" w:rsidRPr="00B45FAB" w:rsidRDefault="00B45FAB" w:rsidP="00BF4E7C">
            <w:pPr>
              <w:pStyle w:val="ChartHead"/>
              <w:rPr>
                <w:rFonts w:eastAsiaTheme="minorEastAsia" w:cs="Frutiger-BoldItalic"/>
                <w:i/>
                <w:iCs/>
                <w:lang w:val="fr-CA" w:eastAsia="ja-JP"/>
              </w:rPr>
            </w:pPr>
            <w:r w:rsidRPr="00B45FAB">
              <w:rPr>
                <w:rFonts w:eastAsiaTheme="minorEastAsia" w:cs="Frutiger-BoldItalic"/>
                <w:i/>
                <w:iCs/>
                <w:lang w:val="fr-CA" w:eastAsia="ja-JP"/>
              </w:rPr>
              <w:t>Le résident pédagogue a-t-il :</w:t>
            </w:r>
          </w:p>
          <w:p w:rsidR="00BF4E7C" w:rsidRPr="00B45FAB" w:rsidRDefault="00BF4E7C" w:rsidP="00BF4E7C">
            <w:pPr>
              <w:pStyle w:val="ChartBodyLeft"/>
              <w:rPr>
                <w:rFonts w:eastAsia="Times New Roman"/>
                <w:lang w:val="fr-CA"/>
              </w:rPr>
            </w:pPr>
            <w:r w:rsidRPr="00B45FAB">
              <w:rPr>
                <w:lang w:val="fr-CA" w:eastAsia="ja-JP"/>
              </w:rPr>
              <w:t xml:space="preserve">• </w:t>
            </w:r>
            <w:r w:rsidR="00B45FAB" w:rsidRPr="00B45FAB">
              <w:rPr>
                <w:lang w:val="fr-CA" w:eastAsia="ja-JP"/>
              </w:rPr>
              <w:t>établi un climat d’apprentissage positif où les erreurs sont signalées et discutées pour en tirer des leçons (culture d’apprentissage, de sécurité, de mieux-être)?</w:t>
            </w:r>
          </w:p>
        </w:tc>
        <w:tc>
          <w:tcPr>
            <w:tcW w:w="1710" w:type="dxa"/>
          </w:tcPr>
          <w:p w:rsidR="00BF4E7C" w:rsidRPr="00B45FAB" w:rsidRDefault="00BF4E7C" w:rsidP="00DE63C3">
            <w:pPr>
              <w:rPr>
                <w:rFonts w:eastAsia="Times New Roman"/>
                <w:sz w:val="20"/>
                <w:szCs w:val="20"/>
                <w:lang w:val="fr-CA"/>
              </w:rPr>
            </w:pPr>
          </w:p>
        </w:tc>
        <w:tc>
          <w:tcPr>
            <w:tcW w:w="3348" w:type="dxa"/>
          </w:tcPr>
          <w:p w:rsidR="00BF4E7C" w:rsidRPr="00B45FAB" w:rsidRDefault="00BF4E7C" w:rsidP="00DE63C3">
            <w:pPr>
              <w:rPr>
                <w:rFonts w:eastAsia="Times New Roman"/>
                <w:sz w:val="20"/>
                <w:szCs w:val="20"/>
                <w:lang w:val="fr-CA"/>
              </w:rPr>
            </w:pPr>
          </w:p>
        </w:tc>
      </w:tr>
      <w:tr w:rsidR="00B45FAB" w:rsidRPr="00B02F8A" w:rsidTr="00BF4E7C">
        <w:tc>
          <w:tcPr>
            <w:tcW w:w="5958" w:type="dxa"/>
          </w:tcPr>
          <w:p w:rsidR="00BF4E7C" w:rsidRPr="00B45FAB" w:rsidRDefault="00BF4E7C" w:rsidP="00BF4E7C">
            <w:pPr>
              <w:pStyle w:val="ChartHead"/>
              <w:rPr>
                <w:rFonts w:eastAsiaTheme="minorEastAsia"/>
                <w:lang w:val="fr-CA" w:eastAsia="ja-JP"/>
              </w:rPr>
            </w:pPr>
            <w:r w:rsidRPr="00B45FAB">
              <w:rPr>
                <w:rFonts w:eastAsiaTheme="minorEastAsia"/>
                <w:lang w:val="fr-CA" w:eastAsia="ja-JP"/>
              </w:rPr>
              <w:t xml:space="preserve">5. </w:t>
            </w:r>
            <w:r w:rsidR="00B45FAB" w:rsidRPr="00B45FAB">
              <w:rPr>
                <w:rFonts w:eastAsiaTheme="minorEastAsia"/>
                <w:lang w:val="fr-CA" w:eastAsia="ja-JP"/>
              </w:rPr>
              <w:t>Retour sur les objectifs</w:t>
            </w:r>
          </w:p>
          <w:p w:rsidR="00BF4E7C" w:rsidRPr="00B45FAB" w:rsidRDefault="00B45FAB" w:rsidP="00BF4E7C">
            <w:pPr>
              <w:pStyle w:val="ChartHead"/>
              <w:rPr>
                <w:rFonts w:eastAsiaTheme="minorEastAsia" w:cs="Frutiger-BoldItalic"/>
                <w:i/>
                <w:iCs/>
                <w:lang w:val="fr-CA" w:eastAsia="ja-JP"/>
              </w:rPr>
            </w:pPr>
            <w:r w:rsidRPr="00B45FAB">
              <w:rPr>
                <w:rFonts w:eastAsiaTheme="minorEastAsia" w:cs="Frutiger-BoldItalic"/>
                <w:i/>
                <w:iCs/>
                <w:lang w:val="fr-CA" w:eastAsia="ja-JP"/>
              </w:rPr>
              <w:t>Le résident pédagogue a-t-il :</w:t>
            </w:r>
          </w:p>
          <w:p w:rsidR="00BF4E7C" w:rsidRPr="00B02F8A" w:rsidRDefault="00BF4E7C" w:rsidP="00BF4E7C">
            <w:pPr>
              <w:pStyle w:val="ChartBodyLeft"/>
              <w:rPr>
                <w:rFonts w:eastAsia="Times New Roman"/>
              </w:rPr>
            </w:pPr>
            <w:r w:rsidRPr="00B45FAB">
              <w:rPr>
                <w:lang w:val="fr-CA" w:eastAsia="ja-JP"/>
              </w:rPr>
              <w:t xml:space="preserve">• </w:t>
            </w:r>
            <w:r w:rsidR="00B45FAB" w:rsidRPr="00B45FAB">
              <w:rPr>
                <w:lang w:val="fr-CA" w:eastAsia="ja-JP"/>
              </w:rPr>
              <w:t xml:space="preserve">recueilli, organisé et discuté des données analysées? Explore les évaluations et mesures de rendement pour déterminer ce qui a bien/moins bien fonctionné et les jalons atteints ou non, les tendances observées au fil du temps, les forces et faiblesses actuelles, la nécessité d’amélioration, etc.? </w:t>
            </w:r>
            <w:proofErr w:type="spellStart"/>
            <w:r w:rsidR="00B45FAB" w:rsidRPr="00B45FAB">
              <w:rPr>
                <w:lang w:eastAsia="ja-JP"/>
              </w:rPr>
              <w:t>discuté</w:t>
            </w:r>
            <w:proofErr w:type="spellEnd"/>
            <w:r w:rsidR="00B45FAB" w:rsidRPr="00B45FAB">
              <w:rPr>
                <w:lang w:eastAsia="ja-JP"/>
              </w:rPr>
              <w:t xml:space="preserve"> des </w:t>
            </w:r>
            <w:proofErr w:type="spellStart"/>
            <w:r w:rsidR="00B45FAB" w:rsidRPr="00B45FAB">
              <w:rPr>
                <w:lang w:eastAsia="ja-JP"/>
              </w:rPr>
              <w:t>étapes</w:t>
            </w:r>
            <w:proofErr w:type="spellEnd"/>
            <w:r w:rsidR="00B45FAB" w:rsidRPr="00B45FAB">
              <w:rPr>
                <w:lang w:eastAsia="ja-JP"/>
              </w:rPr>
              <w:t xml:space="preserve"> </w:t>
            </w:r>
            <w:proofErr w:type="spellStart"/>
            <w:r w:rsidR="00B45FAB" w:rsidRPr="00B45FAB">
              <w:rPr>
                <w:lang w:eastAsia="ja-JP"/>
              </w:rPr>
              <w:t>suivantes</w:t>
            </w:r>
            <w:proofErr w:type="spellEnd"/>
            <w:r w:rsidR="00B45FAB" w:rsidRPr="00B45FAB">
              <w:rPr>
                <w:lang w:eastAsia="ja-JP"/>
              </w:rPr>
              <w:t xml:space="preserve"> </w:t>
            </w:r>
            <w:proofErr w:type="spellStart"/>
            <w:r w:rsidR="00B45FAB" w:rsidRPr="00B45FAB">
              <w:rPr>
                <w:lang w:eastAsia="ja-JP"/>
              </w:rPr>
              <w:t>d’amélioration</w:t>
            </w:r>
            <w:proofErr w:type="spellEnd"/>
            <w:r w:rsidR="00B45FAB" w:rsidRPr="00B45FAB">
              <w:rPr>
                <w:lang w:eastAsia="ja-JP"/>
              </w:rPr>
              <w:t xml:space="preserve"> (</w:t>
            </w:r>
            <w:proofErr w:type="spellStart"/>
            <w:r w:rsidR="00B45FAB" w:rsidRPr="00B45FAB">
              <w:rPr>
                <w:lang w:eastAsia="ja-JP"/>
              </w:rPr>
              <w:t>contenu</w:t>
            </w:r>
            <w:proofErr w:type="spellEnd"/>
            <w:r w:rsidR="00B45FAB" w:rsidRPr="00B45FAB">
              <w:rPr>
                <w:lang w:eastAsia="ja-JP"/>
              </w:rPr>
              <w:t xml:space="preserve"> et démarches)?</w:t>
            </w:r>
          </w:p>
        </w:tc>
        <w:tc>
          <w:tcPr>
            <w:tcW w:w="1710" w:type="dxa"/>
          </w:tcPr>
          <w:p w:rsidR="00BF4E7C" w:rsidRPr="00B02F8A" w:rsidRDefault="00BF4E7C" w:rsidP="00DE63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BF4E7C" w:rsidRPr="00B02F8A" w:rsidRDefault="00BF4E7C" w:rsidP="00DE63C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4E7C" w:rsidRPr="00BF4E7C" w:rsidRDefault="00BF4E7C" w:rsidP="00BF4E7C">
      <w:pPr>
        <w:autoSpaceDE w:val="0"/>
        <w:autoSpaceDN w:val="0"/>
        <w:snapToGrid/>
        <w:spacing w:after="0"/>
        <w:contextualSpacing/>
        <w:rPr>
          <w:rFonts w:eastAsiaTheme="minorEastAsia" w:cs="AGaramondPro-Regular"/>
          <w:lang w:eastAsia="ja-JP"/>
        </w:rPr>
      </w:pPr>
    </w:p>
    <w:p w:rsidR="00B45FAB" w:rsidRPr="00B45FAB" w:rsidRDefault="00B45FAB" w:rsidP="00BF4E7C">
      <w:pPr>
        <w:pStyle w:val="ListParagraph"/>
        <w:numPr>
          <w:ilvl w:val="0"/>
          <w:numId w:val="15"/>
        </w:numPr>
        <w:autoSpaceDE w:val="0"/>
        <w:autoSpaceDN w:val="0"/>
        <w:rPr>
          <w:b/>
          <w:lang w:val="fr-CA"/>
        </w:rPr>
      </w:pPr>
      <w:r w:rsidRPr="00B45FAB">
        <w:rPr>
          <w:rFonts w:eastAsiaTheme="minorEastAsia" w:cs="AGaramondPro-Regular"/>
          <w:lang w:val="fr-CA" w:eastAsia="ja-JP"/>
        </w:rPr>
        <w:t xml:space="preserve">SOMMAIRE DES PRIORITÉS d’amélioration des aptitudes en enseignement </w:t>
      </w:r>
    </w:p>
    <w:p w:rsidR="00BF4E7C" w:rsidRPr="00B45FAB" w:rsidRDefault="00B45FAB" w:rsidP="00B45FAB">
      <w:pPr>
        <w:pStyle w:val="ListParagraph"/>
        <w:numPr>
          <w:ilvl w:val="0"/>
          <w:numId w:val="0"/>
        </w:numPr>
        <w:autoSpaceDE w:val="0"/>
        <w:autoSpaceDN w:val="0"/>
        <w:ind w:left="720"/>
        <w:rPr>
          <w:b/>
          <w:lang w:val="fr-CA"/>
        </w:rPr>
      </w:pPr>
      <w:r w:rsidRPr="00B45FAB">
        <w:rPr>
          <w:rFonts w:eastAsiaTheme="minorEastAsia" w:cs="AGaramondPro-Regular"/>
          <w:lang w:val="fr-CA" w:eastAsia="ja-JP"/>
        </w:rPr>
        <w:t>Passez en revue vos cotes et réponses ci-dessus, puis remplissez le tableau qui suit 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7"/>
        <w:gridCol w:w="2254"/>
        <w:gridCol w:w="4881"/>
        <w:gridCol w:w="2638"/>
      </w:tblGrid>
      <w:tr w:rsidR="00B45FAB" w:rsidRPr="00B45FAB" w:rsidTr="00BF4E7C">
        <w:tc>
          <w:tcPr>
            <w:tcW w:w="738" w:type="dxa"/>
          </w:tcPr>
          <w:p w:rsidR="00BF4E7C" w:rsidRPr="00B02F8A" w:rsidRDefault="00BF4E7C" w:rsidP="00BF4E7C">
            <w:pPr>
              <w:pStyle w:val="ChartHead"/>
            </w:pPr>
            <w:r w:rsidRPr="00B02F8A">
              <w:t>#</w:t>
            </w:r>
          </w:p>
        </w:tc>
        <w:tc>
          <w:tcPr>
            <w:tcW w:w="2340" w:type="dxa"/>
          </w:tcPr>
          <w:p w:rsidR="00BF4E7C" w:rsidRPr="00B02F8A" w:rsidRDefault="00B45FAB" w:rsidP="00BF4E7C">
            <w:pPr>
              <w:pStyle w:val="ChartHead"/>
            </w:pPr>
            <w:r w:rsidRPr="00B45FAB">
              <w:t>Domaine</w:t>
            </w:r>
          </w:p>
        </w:tc>
        <w:tc>
          <w:tcPr>
            <w:tcW w:w="5184" w:type="dxa"/>
          </w:tcPr>
          <w:p w:rsidR="00BF4E7C" w:rsidRPr="00B02F8A" w:rsidRDefault="00B45FAB" w:rsidP="00BF4E7C">
            <w:pPr>
              <w:pStyle w:val="ChartHead"/>
            </w:pPr>
            <w:r w:rsidRPr="00B45FAB">
              <w:t xml:space="preserve">Objectif et </w:t>
            </w:r>
            <w:proofErr w:type="spellStart"/>
            <w:r w:rsidRPr="00B45FAB">
              <w:t>délais</w:t>
            </w:r>
            <w:proofErr w:type="spellEnd"/>
          </w:p>
        </w:tc>
        <w:tc>
          <w:tcPr>
            <w:tcW w:w="2754" w:type="dxa"/>
          </w:tcPr>
          <w:p w:rsidR="00BF4E7C" w:rsidRPr="00B45FAB" w:rsidRDefault="00B45FAB" w:rsidP="00BF4E7C">
            <w:pPr>
              <w:pStyle w:val="ChartHead"/>
              <w:rPr>
                <w:lang w:val="fr-CA"/>
              </w:rPr>
            </w:pPr>
            <w:r w:rsidRPr="00B45FAB">
              <w:rPr>
                <w:lang w:val="fr-CA"/>
              </w:rPr>
              <w:t>Je saurai que j’ai réussi si :</w:t>
            </w:r>
          </w:p>
        </w:tc>
      </w:tr>
      <w:tr w:rsidR="00B45FAB" w:rsidRPr="00DF60E5" w:rsidTr="00BF4E7C">
        <w:tc>
          <w:tcPr>
            <w:tcW w:w="738" w:type="dxa"/>
          </w:tcPr>
          <w:p w:rsidR="00BF4E7C" w:rsidRPr="00B02F8A" w:rsidRDefault="00B45FAB" w:rsidP="00BF4E7C">
            <w:pPr>
              <w:pStyle w:val="ChartBodyLeft"/>
            </w:pPr>
            <w:proofErr w:type="spellStart"/>
            <w:r w:rsidRPr="00B45FAB">
              <w:t>Exemple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45FAB" w:rsidRPr="00DF60E5" w:rsidRDefault="00B45FAB" w:rsidP="00B45FAB">
            <w:pPr>
              <w:pStyle w:val="ChartBodyLeft"/>
              <w:rPr>
                <w:rFonts w:eastAsiaTheme="minorEastAsia" w:cs="Frutiger-Light"/>
                <w:lang w:val="fr-CA" w:eastAsia="ja-JP"/>
              </w:rPr>
            </w:pPr>
            <w:r w:rsidRPr="00B45FAB">
              <w:rPr>
                <w:rFonts w:eastAsiaTheme="minorEastAsia" w:cs="Frutiger-Light"/>
                <w:lang w:val="fr-CA" w:eastAsia="ja-JP"/>
              </w:rPr>
              <w:t>Je dois établir un meilleur rapport avant d’offrir de la</w:t>
            </w:r>
          </w:p>
          <w:p w:rsidR="00BF4E7C" w:rsidRPr="00B02F8A" w:rsidRDefault="00B45FAB" w:rsidP="00B45FAB">
            <w:pPr>
              <w:pStyle w:val="ChartBodyLeft"/>
            </w:pPr>
            <w:proofErr w:type="spellStart"/>
            <w:r w:rsidRPr="00B45FAB">
              <w:rPr>
                <w:rFonts w:eastAsiaTheme="minorEastAsia" w:cs="Frutiger-Light"/>
                <w:lang w:val="en-US" w:eastAsia="ja-JP"/>
              </w:rPr>
              <w:t>rétroaction</w:t>
            </w:r>
            <w:proofErr w:type="spellEnd"/>
          </w:p>
        </w:tc>
        <w:tc>
          <w:tcPr>
            <w:tcW w:w="5184" w:type="dxa"/>
          </w:tcPr>
          <w:p w:rsidR="00BF4E7C" w:rsidRPr="00DF60E5" w:rsidRDefault="00DF60E5" w:rsidP="00BF4E7C">
            <w:pPr>
              <w:pStyle w:val="ChartBodyLeft"/>
              <w:rPr>
                <w:lang w:val="fr-CA"/>
              </w:rPr>
            </w:pPr>
            <w:r w:rsidRPr="00DF60E5">
              <w:rPr>
                <w:rFonts w:eastAsiaTheme="minorEastAsia" w:cs="Frutiger-Light"/>
                <w:lang w:val="fr-CA" w:eastAsia="ja-JP"/>
              </w:rPr>
              <w:t>Au cours des trois prochaines semaines, je vais surveiller d’autres pédagogues qui observant leurs apprenants pour déterminer si ceux-ci sont prêts à recevoir de la rétroaction, et je vais utiliser les bons exemples pour formuler des phrases clés qui m’aideront à faire de même.</w:t>
            </w:r>
          </w:p>
        </w:tc>
        <w:tc>
          <w:tcPr>
            <w:tcW w:w="2754" w:type="dxa"/>
          </w:tcPr>
          <w:p w:rsidR="00DF60E5" w:rsidRPr="00DF60E5" w:rsidRDefault="00DF60E5" w:rsidP="00DF60E5">
            <w:pPr>
              <w:pStyle w:val="ChartBodyLeft"/>
              <w:rPr>
                <w:rFonts w:eastAsiaTheme="minorEastAsia" w:cs="Frutiger-Light"/>
                <w:lang w:val="fr-CA" w:eastAsia="ja-JP"/>
              </w:rPr>
            </w:pPr>
            <w:r w:rsidRPr="00DF60E5">
              <w:rPr>
                <w:rFonts w:eastAsiaTheme="minorEastAsia" w:cs="Frutiger-Light"/>
                <w:lang w:val="fr-CA" w:eastAsia="ja-JP"/>
              </w:rPr>
              <w:t>Mes apprenants sont plus ouverts à la</w:t>
            </w:r>
          </w:p>
          <w:p w:rsidR="00BF4E7C" w:rsidRPr="00DF60E5" w:rsidRDefault="00DF60E5" w:rsidP="00DF60E5">
            <w:pPr>
              <w:pStyle w:val="ChartBodyLeft"/>
              <w:rPr>
                <w:lang w:val="fr-CA"/>
              </w:rPr>
            </w:pPr>
            <w:proofErr w:type="gramStart"/>
            <w:r w:rsidRPr="00DF60E5">
              <w:rPr>
                <w:rFonts w:eastAsiaTheme="minorEastAsia" w:cs="Frutiger-Light"/>
                <w:lang w:val="fr-CA" w:eastAsia="ja-JP"/>
              </w:rPr>
              <w:t>rétroaction</w:t>
            </w:r>
            <w:proofErr w:type="gramEnd"/>
          </w:p>
        </w:tc>
      </w:tr>
      <w:tr w:rsidR="00B45FAB" w:rsidTr="00BF4E7C">
        <w:tc>
          <w:tcPr>
            <w:tcW w:w="738" w:type="dxa"/>
          </w:tcPr>
          <w:p w:rsidR="00BF4E7C" w:rsidRDefault="00BF4E7C" w:rsidP="00BF4E7C">
            <w:pPr>
              <w:pStyle w:val="ChartBodyLeft"/>
            </w:pPr>
            <w:r>
              <w:t>1.</w:t>
            </w: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</w:tc>
        <w:tc>
          <w:tcPr>
            <w:tcW w:w="2340" w:type="dxa"/>
          </w:tcPr>
          <w:p w:rsidR="00BF4E7C" w:rsidRDefault="00BF4E7C" w:rsidP="00BF4E7C">
            <w:pPr>
              <w:pStyle w:val="ChartBodyLeft"/>
            </w:pPr>
            <w:r>
              <w:t xml:space="preserve"> </w:t>
            </w: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</w:tc>
        <w:tc>
          <w:tcPr>
            <w:tcW w:w="5184" w:type="dxa"/>
          </w:tcPr>
          <w:p w:rsidR="00BF4E7C" w:rsidRDefault="00BF4E7C" w:rsidP="00BF4E7C">
            <w:pPr>
              <w:pStyle w:val="ChartBodyLeft"/>
            </w:pPr>
          </w:p>
        </w:tc>
        <w:tc>
          <w:tcPr>
            <w:tcW w:w="2754" w:type="dxa"/>
          </w:tcPr>
          <w:p w:rsidR="00BF4E7C" w:rsidRDefault="00BF4E7C" w:rsidP="00BF4E7C">
            <w:pPr>
              <w:pStyle w:val="ChartBodyLeft"/>
            </w:pPr>
          </w:p>
        </w:tc>
      </w:tr>
      <w:tr w:rsidR="00B45FAB" w:rsidTr="00BF4E7C">
        <w:tc>
          <w:tcPr>
            <w:tcW w:w="738" w:type="dxa"/>
          </w:tcPr>
          <w:p w:rsidR="00BF4E7C" w:rsidRDefault="00BF4E7C" w:rsidP="00BF4E7C">
            <w:pPr>
              <w:pStyle w:val="ChartBodyLeft"/>
            </w:pPr>
            <w:r>
              <w:t>2.</w:t>
            </w: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</w:tc>
        <w:tc>
          <w:tcPr>
            <w:tcW w:w="2340" w:type="dxa"/>
          </w:tcPr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</w:tc>
        <w:tc>
          <w:tcPr>
            <w:tcW w:w="5184" w:type="dxa"/>
          </w:tcPr>
          <w:p w:rsidR="00BF4E7C" w:rsidRDefault="00BF4E7C" w:rsidP="00BF4E7C">
            <w:pPr>
              <w:pStyle w:val="ChartBodyLeft"/>
            </w:pPr>
          </w:p>
        </w:tc>
        <w:tc>
          <w:tcPr>
            <w:tcW w:w="2754" w:type="dxa"/>
          </w:tcPr>
          <w:p w:rsidR="00BF4E7C" w:rsidRDefault="00BF4E7C" w:rsidP="00BF4E7C">
            <w:pPr>
              <w:pStyle w:val="ChartBodyLeft"/>
            </w:pPr>
          </w:p>
        </w:tc>
      </w:tr>
      <w:tr w:rsidR="00B45FAB" w:rsidTr="00BF4E7C">
        <w:tc>
          <w:tcPr>
            <w:tcW w:w="738" w:type="dxa"/>
          </w:tcPr>
          <w:p w:rsidR="00BF4E7C" w:rsidRDefault="00BF4E7C" w:rsidP="00BF4E7C">
            <w:pPr>
              <w:pStyle w:val="ChartBodyLeft"/>
            </w:pPr>
            <w:r>
              <w:t>3.</w:t>
            </w: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</w:tc>
        <w:tc>
          <w:tcPr>
            <w:tcW w:w="2340" w:type="dxa"/>
          </w:tcPr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  <w:p w:rsidR="00BF4E7C" w:rsidRDefault="00BF4E7C" w:rsidP="00BF4E7C">
            <w:pPr>
              <w:pStyle w:val="ChartBodyLeft"/>
            </w:pPr>
          </w:p>
        </w:tc>
        <w:tc>
          <w:tcPr>
            <w:tcW w:w="5184" w:type="dxa"/>
          </w:tcPr>
          <w:p w:rsidR="00BF4E7C" w:rsidRDefault="00BF4E7C" w:rsidP="00BF4E7C">
            <w:pPr>
              <w:pStyle w:val="ChartBodyLeft"/>
            </w:pPr>
          </w:p>
        </w:tc>
        <w:tc>
          <w:tcPr>
            <w:tcW w:w="2754" w:type="dxa"/>
          </w:tcPr>
          <w:p w:rsidR="00BF4E7C" w:rsidRDefault="00BF4E7C" w:rsidP="00BF4E7C">
            <w:pPr>
              <w:pStyle w:val="ChartBodyLeft"/>
            </w:pPr>
          </w:p>
        </w:tc>
      </w:tr>
    </w:tbl>
    <w:p w:rsidR="00322403" w:rsidRDefault="00322403" w:rsidP="00BF4E7C">
      <w:pPr>
        <w:rPr>
          <w:b/>
        </w:rPr>
      </w:pPr>
    </w:p>
    <w:p w:rsidR="00DF60E5" w:rsidRPr="00DF60E5" w:rsidRDefault="00DF60E5" w:rsidP="00DF60E5">
      <w:pPr>
        <w:rPr>
          <w:rFonts w:eastAsiaTheme="minorEastAsia" w:cs="AGaramondPro-Regular"/>
          <w:lang w:val="fr-CA" w:eastAsia="ja-JP"/>
        </w:rPr>
      </w:pPr>
      <w:r w:rsidRPr="00DF60E5">
        <w:rPr>
          <w:rFonts w:eastAsiaTheme="minorEastAsia" w:cs="AGaramondPro-Regular"/>
          <w:lang w:val="fr-CA" w:eastAsia="ja-JP"/>
        </w:rPr>
        <w:t>Autres commentaires / réflexion :</w:t>
      </w:r>
    </w:p>
    <w:p w:rsidR="00BF4E7C" w:rsidRPr="00DF60E5" w:rsidRDefault="00BF4E7C" w:rsidP="00BF4E7C">
      <w:pPr>
        <w:rPr>
          <w:rFonts w:eastAsia="Times New Roman"/>
          <w:lang w:val="fr-CA"/>
        </w:rPr>
      </w:pPr>
    </w:p>
    <w:p w:rsidR="00BF4E7C" w:rsidRPr="00DF60E5" w:rsidRDefault="00BF4E7C" w:rsidP="00BF4E7C">
      <w:pPr>
        <w:rPr>
          <w:b/>
          <w:lang w:val="fr-CA"/>
        </w:rPr>
      </w:pPr>
    </w:p>
    <w:sectPr w:rsidR="00BF4E7C" w:rsidRPr="00DF60E5" w:rsidSect="00BF4E7C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2D01B7" w:rsidRDefault="009E2429">
    <w:pPr>
      <w:pStyle w:val="Footer"/>
      <w:jc w:val="center"/>
      <w:rPr>
        <w:b/>
        <w:sz w:val="18"/>
        <w:szCs w:val="18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96303" id="Rectangle 3" o:spid="_x0000_s1026" style="position:absolute;margin-left:259.65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BvQ/zfAAAACQEAAA8AAABk&#10;cnMvZG93bnJldi54bWxMj8FOg0AQhu8mvsNmTLzZhZJiRZZGTTQerImtMT1OYQpEdhbZLcW3dzzp&#10;cf758s83+WqynRpp8K1jA/EsAkVcuqrl2sD79vFqCcoH5Ao7x2TgmzysivOzHLPKnfiNxk2olZSw&#10;z9BAE0Kfae3Lhiz6meuJZXdwg8Ug41DrasCTlNtOz6Mo1RZblgsN9vTQUPm5OVoDW7vb3X+9Ju36&#10;6WNcH54xfekJjbm8mO5uQQWawh8Mv/qiDoU47d2RK686A4v4JhHUQBJdgxJgkcYS7CVYzkE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G9D/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2D01B7">
      <w:rPr>
        <w:b/>
        <w:sz w:val="18"/>
        <w:szCs w:val="18"/>
        <w:lang w:val="fr-CA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 w:rsidRPr="002D01B7">
      <w:rPr>
        <w:b/>
        <w:noProof/>
        <w:sz w:val="18"/>
        <w:szCs w:val="18"/>
        <w:lang w:val="fr-CA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 w:rsidRPr="002D01B7">
      <w:rPr>
        <w:b/>
        <w:noProof/>
        <w:sz w:val="18"/>
        <w:szCs w:val="18"/>
        <w:lang w:val="fr-CA"/>
      </w:rPr>
      <w:br/>
    </w:r>
  </w:p>
  <w:p w:rsidR="002802DD" w:rsidRPr="002D01B7" w:rsidRDefault="002D01B7" w:rsidP="002D01B7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MinionPro-Regular" w:hAnsi="MinionPro-Regular" w:cs="MinionPro-Regular"/>
        <w:color w:val="7F7F7F"/>
        <w:szCs w:val="24"/>
        <w:lang w:val="fr-CA"/>
      </w:rPr>
    </w:pPr>
    <w:r w:rsidRPr="00656605">
      <w:rPr>
        <w:rFonts w:cs="Open Sans"/>
        <w:color w:val="7F7F7F"/>
        <w:sz w:val="14"/>
        <w:szCs w:val="14"/>
        <w:lang w:val="fr-CA"/>
      </w:rPr>
      <w:t>Érudit Outils d’enseignement–</w:t>
    </w:r>
    <w:r>
      <w:rPr>
        <w:rFonts w:cs="Open Sans"/>
        <w:color w:val="003A5B" w:themeColor="text2"/>
        <w:sz w:val="14"/>
        <w:szCs w:val="14"/>
        <w:lang w:val="fr-CA"/>
      </w:rPr>
      <w:t xml:space="preserve"> </w:t>
    </w:r>
    <w:r w:rsidRPr="00F25DC3">
      <w:rPr>
        <w:rFonts w:cs="Open Sans"/>
        <w:color w:val="003A5B" w:themeColor="text2"/>
        <w:sz w:val="14"/>
        <w:szCs w:val="14"/>
        <w:lang w:val="fr-CA"/>
      </w:rPr>
      <w:t>É</w:t>
    </w:r>
    <w:r>
      <w:rPr>
        <w:rFonts w:cs="Open Sans"/>
        <w:color w:val="003A5B" w:themeColor="text2"/>
        <w:sz w:val="14"/>
        <w:szCs w:val="14"/>
        <w:lang w:val="fr-CA"/>
      </w:rPr>
      <w:t>TUDE DE CAS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C422E5"/>
    <w:multiLevelType w:val="hybridMultilevel"/>
    <w:tmpl w:val="634AA454"/>
    <w:lvl w:ilvl="0" w:tplc="664E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8335D"/>
    <w:multiLevelType w:val="hybridMultilevel"/>
    <w:tmpl w:val="6D3C27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4237C"/>
    <w:multiLevelType w:val="hybridMultilevel"/>
    <w:tmpl w:val="A064A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4DBC"/>
    <w:rsid w:val="00255259"/>
    <w:rsid w:val="0027682A"/>
    <w:rsid w:val="002802DD"/>
    <w:rsid w:val="002B03F8"/>
    <w:rsid w:val="002D01B7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658A6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B0FEF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45FAB"/>
    <w:rsid w:val="00B6716C"/>
    <w:rsid w:val="00B87B52"/>
    <w:rsid w:val="00BB4DA6"/>
    <w:rsid w:val="00BF4E7C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DF60E5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BA26D1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SubtleReference">
    <w:name w:val="Subtle Reference"/>
    <w:basedOn w:val="DefaultParagraphFont"/>
    <w:uiPriority w:val="31"/>
    <w:qFormat/>
    <w:rsid w:val="00BF4E7C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F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F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4CC8-8561-4E98-AE97-134146438644}">
  <ds:schemaRefs>
    <ds:schemaRef ds:uri="http://www.w3.org/XML/1998/namespace"/>
    <ds:schemaRef ds:uri="http://purl.org/dc/elements/1.1/"/>
    <ds:schemaRef ds:uri="http://purl.org/dc/dcmitype/"/>
    <ds:schemaRef ds:uri="f3c17827-2a44-4186-817e-0d9f5805cdb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A784CC-7B93-4B00-A7D5-4DBB3511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23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6</cp:revision>
  <cp:lastPrinted>2018-08-24T17:51:00Z</cp:lastPrinted>
  <dcterms:created xsi:type="dcterms:W3CDTF">2021-10-21T16:03:00Z</dcterms:created>
  <dcterms:modified xsi:type="dcterms:W3CDTF">2021-11-25T14:35:00Z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