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Outils d’enseignement 3 – Réflexion dirigée</w:t>
      </w:r>
    </w:p>
    <w:p w:rsidR="002B03F8" w:rsidRPr="00B46140" w:rsidRDefault="00B46140" w:rsidP="006A4987">
      <w:pPr>
        <w:pStyle w:val="Subtitle"/>
        <w:rPr>
          <w:lang w:val="fr-CA"/>
        </w:rPr>
      </w:pPr>
      <w:r w:rsidRPr="00B46140">
        <w:rPr>
          <w:lang w:val="fr-CA"/>
        </w:rPr>
        <w:t xml:space="preserve">CanMEDS Expert Médical </w:t>
      </w:r>
    </w:p>
    <w:p w:rsidR="00B46140" w:rsidRPr="00216450" w:rsidRDefault="00B46140" w:rsidP="00B46140">
      <w:pPr>
        <w:pStyle w:val="Heading2"/>
        <w:rPr>
          <w:lang w:val="fr-CA" w:eastAsia="ja-JP"/>
        </w:rPr>
      </w:pPr>
      <w:r w:rsidRPr="00216450">
        <w:rPr>
          <w:lang w:val="fr-CA" w:eastAsia="ja-JP"/>
        </w:rPr>
        <w:t>Continuum de compétence du rôle d’expert médical dans la pratique de tous les jours</w:t>
      </w:r>
    </w:p>
    <w:p w:rsidR="00B46140" w:rsidRPr="00B46140" w:rsidRDefault="00B46140" w:rsidP="00B46140">
      <w:pPr>
        <w:rPr>
          <w:rStyle w:val="SubtleReference"/>
          <w:sz w:val="22"/>
          <w:lang w:val="fr-CA"/>
        </w:rPr>
      </w:pPr>
      <w:r w:rsidRPr="00B46140">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B46140" w:rsidRDefault="00B46140" w:rsidP="00B46140">
      <w:pPr>
        <w:rPr>
          <w:rStyle w:val="SubtleReference"/>
          <w:b/>
          <w:sz w:val="22"/>
          <w:lang w:val="fr-CA"/>
        </w:rPr>
      </w:pPr>
      <w:r w:rsidRPr="00B46140">
        <w:rPr>
          <w:rStyle w:val="SubtleReference"/>
          <w:b/>
          <w:sz w:val="22"/>
          <w:lang w:val="fr-CA"/>
        </w:rPr>
        <w:t>REMARQUE : Le contenu ci-dessous peut avoir été modifié et ne plus représenter l’opinion ou le point de vue du Collège royal.</w:t>
      </w:r>
    </w:p>
    <w:p w:rsidR="00B46140" w:rsidRPr="00B46140" w:rsidRDefault="00B46140" w:rsidP="00B46140">
      <w:pPr>
        <w:rPr>
          <w:lang w:val="fr-CA"/>
        </w:rPr>
      </w:pPr>
      <w:r w:rsidRPr="00B46140">
        <w:rPr>
          <w:lang w:val="fr-CA"/>
        </w:rPr>
        <w:t>Rempli par</w:t>
      </w:r>
      <w:proofErr w:type="gramStart"/>
      <w:r w:rsidRPr="00B46140">
        <w:rPr>
          <w:lang w:val="fr-CA"/>
        </w:rPr>
        <w:t xml:space="preserve"> :_</w:t>
      </w:r>
      <w:proofErr w:type="gramEnd"/>
      <w:r w:rsidRPr="00B46140">
        <w:rPr>
          <w:lang w:val="fr-CA"/>
        </w:rPr>
        <w:t>_______________________</w:t>
      </w:r>
      <w:r>
        <w:rPr>
          <w:lang w:val="fr-CA"/>
        </w:rPr>
        <w:t>_______________</w:t>
      </w:r>
      <w:r w:rsidRPr="00B46140">
        <w:rPr>
          <w:lang w:val="fr-CA"/>
        </w:rPr>
        <w:t>____</w:t>
      </w:r>
    </w:p>
    <w:p w:rsidR="00B46140" w:rsidRPr="00B46140" w:rsidRDefault="00B46140" w:rsidP="00B46140">
      <w:pPr>
        <w:pStyle w:val="Heading3"/>
        <w:rPr>
          <w:color w:val="003A5B" w:themeColor="text2"/>
          <w:lang w:val="fr-CA"/>
        </w:rPr>
      </w:pPr>
      <w:r w:rsidRPr="00B46140">
        <w:rPr>
          <w:color w:val="003A5B" w:themeColor="text2"/>
          <w:lang w:val="fr-CA"/>
        </w:rPr>
        <w:t>Directives à l’intention de l’apprenant :</w:t>
      </w:r>
    </w:p>
    <w:p w:rsidR="00B46140" w:rsidRPr="00B46140" w:rsidRDefault="00B46140" w:rsidP="00B46140">
      <w:pPr>
        <w:pStyle w:val="ListParagraph"/>
        <w:rPr>
          <w:lang w:val="fr-CA"/>
        </w:rPr>
      </w:pPr>
      <w:r w:rsidRPr="00B46140">
        <w:rPr>
          <w:lang w:val="fr-CA"/>
        </w:rPr>
        <w:t>Utiliser le continuum de compétence de l’expert médical et exemples connexes en guise de référence (se reporter aux tableaux EM-1 et EM-2).</w:t>
      </w:r>
    </w:p>
    <w:p w:rsidR="00B46140" w:rsidRPr="00B46140" w:rsidRDefault="00B46140" w:rsidP="00B46140">
      <w:pPr>
        <w:rPr>
          <w:lang w:val="fr-CA"/>
        </w:rPr>
      </w:pPr>
      <w:r w:rsidRPr="00B46140">
        <w:rPr>
          <w:lang w:val="fr-CA"/>
        </w:rPr>
        <w:t>1. Veuillez remplir le tableau ci-dessous, en donnant des exemples précis tirés de la pratique de votre spécialité.</w:t>
      </w:r>
    </w:p>
    <w:tbl>
      <w:tblPr>
        <w:tblW w:w="10800" w:type="dxa"/>
        <w:tblInd w:w="90" w:type="dxa"/>
        <w:tblLayout w:type="fixed"/>
        <w:tblCellMar>
          <w:left w:w="0" w:type="dxa"/>
          <w:right w:w="0" w:type="dxa"/>
        </w:tblCellMar>
        <w:tblLook w:val="04A0" w:firstRow="1" w:lastRow="0" w:firstColumn="1" w:lastColumn="0" w:noHBand="0" w:noVBand="1"/>
      </w:tblPr>
      <w:tblGrid>
        <w:gridCol w:w="1702"/>
        <w:gridCol w:w="4461"/>
        <w:gridCol w:w="4637"/>
      </w:tblGrid>
      <w:tr w:rsidR="00B46140" w:rsidRPr="00216450" w:rsidTr="00B46140">
        <w:trPr>
          <w:trHeight w:val="60"/>
        </w:trPr>
        <w:tc>
          <w:tcPr>
            <w:tcW w:w="170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Head"/>
              <w:rPr>
                <w:lang w:val="fr-CA"/>
              </w:rPr>
            </w:pPr>
            <w:r w:rsidRPr="00B46140">
              <w:rPr>
                <w:lang w:val="fr-CA"/>
              </w:rPr>
              <w:t>Scénario lié à la</w:t>
            </w:r>
            <w:r>
              <w:rPr>
                <w:lang w:val="fr-CA"/>
              </w:rPr>
              <w:t xml:space="preserve"> </w:t>
            </w:r>
            <w:r w:rsidRPr="00B46140">
              <w:rPr>
                <w:lang w:val="fr-CA"/>
              </w:rPr>
              <w:t>pratique de tous les</w:t>
            </w:r>
            <w:r>
              <w:rPr>
                <w:lang w:val="fr-CA"/>
              </w:rPr>
              <w:t xml:space="preserve"> </w:t>
            </w:r>
            <w:r w:rsidRPr="00B46140">
              <w:rPr>
                <w:lang w:val="fr-CA"/>
              </w:rPr>
              <w:t>jours</w:t>
            </w:r>
          </w:p>
        </w:tc>
        <w:tc>
          <w:tcPr>
            <w:tcW w:w="446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b/>
                <w:lang w:val="fr-CA"/>
              </w:rPr>
              <w:t xml:space="preserve">Situation courante et problème peu complexe </w:t>
            </w:r>
            <w:r w:rsidRPr="00B46140">
              <w:rPr>
                <w:lang w:val="fr-CA"/>
              </w:rPr>
              <w:t>(l’expert médical au début de sa formation)</w:t>
            </w:r>
          </w:p>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Head"/>
              <w:rPr>
                <w:lang w:val="fr-CA"/>
              </w:rPr>
            </w:pPr>
            <w:r w:rsidRPr="00B46140">
              <w:rPr>
                <w:lang w:val="fr-CA"/>
              </w:rPr>
              <w:t>Problème complexe</w:t>
            </w:r>
          </w:p>
          <w:p w:rsidR="00B46140" w:rsidRPr="00B46140" w:rsidRDefault="00B46140" w:rsidP="00B46140">
            <w:pPr>
              <w:pStyle w:val="ChartBodyLeft"/>
              <w:rPr>
                <w:lang w:val="fr-CA"/>
              </w:rPr>
            </w:pPr>
            <w:r w:rsidRPr="00B46140">
              <w:rPr>
                <w:lang w:val="fr-CA"/>
              </w:rPr>
              <w:t>(</w:t>
            </w:r>
            <w:proofErr w:type="gramStart"/>
            <w:r w:rsidRPr="00B46140">
              <w:rPr>
                <w:lang w:val="fr-CA"/>
              </w:rPr>
              <w:t>l’expert</w:t>
            </w:r>
            <w:proofErr w:type="gramEnd"/>
            <w:r w:rsidRPr="00B46140">
              <w:rPr>
                <w:lang w:val="fr-CA"/>
              </w:rPr>
              <w:t xml:space="preserve"> médical avancé dans sa formation)</w:t>
            </w:r>
          </w:p>
        </w:tc>
      </w:tr>
      <w:tr w:rsidR="00B46140" w:rsidTr="00B46140">
        <w:trPr>
          <w:trHeight w:val="60"/>
        </w:trPr>
        <w:tc>
          <w:tcPr>
            <w:tcW w:w="170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46140" w:rsidRDefault="00B46140" w:rsidP="00B46140">
            <w:pPr>
              <w:pStyle w:val="ChartHead"/>
            </w:pPr>
            <w:r w:rsidRPr="00571551">
              <w:t>SCÉNARIO No 1</w:t>
            </w:r>
          </w:p>
          <w:p w:rsidR="00B46140" w:rsidRDefault="00B46140" w:rsidP="00D35BAF"/>
          <w:p w:rsidR="00B46140" w:rsidRDefault="00B46140" w:rsidP="00D35BAF"/>
          <w:p w:rsidR="00B46140" w:rsidRDefault="00B46140" w:rsidP="00D35BAF"/>
        </w:tc>
        <w:tc>
          <w:tcPr>
            <w:tcW w:w="446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Default="00B46140" w:rsidP="00D35BAF"/>
          <w:p w:rsidR="00B46140" w:rsidRDefault="00B46140" w:rsidP="00D35BAF"/>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46140" w:rsidRDefault="00B46140" w:rsidP="00D35BAF"/>
        </w:tc>
      </w:tr>
      <w:tr w:rsidR="00B46140" w:rsidTr="00B46140">
        <w:trPr>
          <w:trHeight w:val="60"/>
        </w:trPr>
        <w:tc>
          <w:tcPr>
            <w:tcW w:w="170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46140" w:rsidRDefault="00B46140" w:rsidP="00B46140">
            <w:pPr>
              <w:pStyle w:val="ChartHead"/>
            </w:pPr>
            <w:r w:rsidRPr="00571551">
              <w:t>SCÉNARIO No 2</w:t>
            </w:r>
          </w:p>
          <w:p w:rsidR="00B46140" w:rsidRDefault="00B46140" w:rsidP="00D35BAF"/>
          <w:p w:rsidR="00B46140" w:rsidRDefault="00B46140" w:rsidP="00D35BAF"/>
          <w:p w:rsidR="00B46140" w:rsidRDefault="00B46140" w:rsidP="00D35BAF"/>
          <w:p w:rsidR="00B46140" w:rsidRDefault="00B46140" w:rsidP="00D35BAF"/>
        </w:tc>
        <w:tc>
          <w:tcPr>
            <w:tcW w:w="446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Default="00B46140" w:rsidP="00D35BAF"/>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46140" w:rsidRDefault="00B46140" w:rsidP="00D35BAF">
            <w:bookmarkStart w:id="0" w:name="_GoBack"/>
            <w:bookmarkEnd w:id="0"/>
          </w:p>
        </w:tc>
      </w:tr>
    </w:tbl>
    <w:p w:rsidR="00B46140" w:rsidRPr="00B46140" w:rsidRDefault="00B46140" w:rsidP="00B46140">
      <w:pPr>
        <w:rPr>
          <w:lang w:val="fr-CA"/>
        </w:rPr>
      </w:pPr>
      <w:r w:rsidRPr="00B46140">
        <w:rPr>
          <w:lang w:val="fr-CA"/>
        </w:rPr>
        <w:lastRenderedPageBreak/>
        <w:t>2. Pour chacun des scénarios décrits à la question 1, veuillez cerner un ou deux autres rôles CanMEDS qui pourraient être mis en valeur au moment d’enseigner ou d’évaluer le rôle d’expert médical.</w:t>
      </w:r>
    </w:p>
    <w:tbl>
      <w:tblPr>
        <w:tblW w:w="10800" w:type="dxa"/>
        <w:tblInd w:w="90" w:type="dxa"/>
        <w:tblLayout w:type="fixed"/>
        <w:tblCellMar>
          <w:left w:w="0" w:type="dxa"/>
          <w:right w:w="0" w:type="dxa"/>
        </w:tblCellMar>
        <w:tblLook w:val="04A0" w:firstRow="1" w:lastRow="0" w:firstColumn="1" w:lastColumn="0" w:noHBand="0" w:noVBand="1"/>
      </w:tblPr>
      <w:tblGrid>
        <w:gridCol w:w="1702"/>
        <w:gridCol w:w="2135"/>
        <w:gridCol w:w="2321"/>
        <w:gridCol w:w="2321"/>
        <w:gridCol w:w="2321"/>
      </w:tblGrid>
      <w:tr w:rsidR="00B46140" w:rsidRPr="00216450" w:rsidTr="00B46140">
        <w:trPr>
          <w:trHeight w:val="60"/>
        </w:trPr>
        <w:tc>
          <w:tcPr>
            <w:tcW w:w="170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Head"/>
              <w:rPr>
                <w:lang w:val="fr-CA"/>
              </w:rPr>
            </w:pPr>
            <w:r w:rsidRPr="00B46140">
              <w:rPr>
                <w:lang w:val="fr-CA"/>
              </w:rPr>
              <w:t>Scénario lié à la</w:t>
            </w:r>
            <w:r>
              <w:rPr>
                <w:lang w:val="fr-CA"/>
              </w:rPr>
              <w:t xml:space="preserve"> </w:t>
            </w:r>
            <w:r w:rsidRPr="00B46140">
              <w:rPr>
                <w:lang w:val="fr-CA"/>
              </w:rPr>
              <w:t>pratique de tous</w:t>
            </w:r>
            <w:r>
              <w:rPr>
                <w:lang w:val="fr-CA"/>
              </w:rPr>
              <w:t xml:space="preserve"> </w:t>
            </w:r>
            <w:r w:rsidRPr="00B46140">
              <w:rPr>
                <w:lang w:val="fr-CA"/>
              </w:rPr>
              <w:t>les jours</w:t>
            </w:r>
          </w:p>
        </w:tc>
        <w:tc>
          <w:tcPr>
            <w:tcW w:w="4456"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b/>
                <w:lang w:val="fr-CA"/>
              </w:rPr>
              <w:t xml:space="preserve">Situation courante et problème peu complexe </w:t>
            </w:r>
            <w:r w:rsidRPr="00B46140">
              <w:rPr>
                <w:lang w:val="fr-CA"/>
              </w:rPr>
              <w:t>(l’expert médical au début de sa formation)</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b/>
                <w:lang w:val="fr-CA"/>
              </w:rPr>
              <w:t xml:space="preserve">Problème complexe </w:t>
            </w:r>
            <w:r w:rsidRPr="00B46140">
              <w:rPr>
                <w:lang w:val="fr-CA"/>
              </w:rPr>
              <w:t>(l’expert médical avancé dans sa formation)</w:t>
            </w:r>
          </w:p>
        </w:tc>
      </w:tr>
      <w:tr w:rsidR="00B46140" w:rsidRPr="00216450" w:rsidTr="00B46140">
        <w:trPr>
          <w:trHeight w:val="60"/>
        </w:trPr>
        <w:tc>
          <w:tcPr>
            <w:tcW w:w="1702"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B46140">
            <w:pPr>
              <w:pStyle w:val="ChartHead"/>
              <w:rPr>
                <w:lang w:val="fr-CA"/>
              </w:rPr>
            </w:pPr>
            <w:r w:rsidRPr="00B46140">
              <w:rPr>
                <w:lang w:val="fr-CA"/>
              </w:rPr>
              <w:t>SCÉNARIO No 1</w:t>
            </w:r>
          </w:p>
          <w:p w:rsidR="00B46140" w:rsidRPr="00B46140" w:rsidRDefault="00B46140" w:rsidP="00B46140">
            <w:pPr>
              <w:pStyle w:val="ChartHead"/>
              <w:rPr>
                <w:lang w:val="fr-CA"/>
              </w:rPr>
            </w:pPr>
            <w:r w:rsidRPr="00B46140">
              <w:rPr>
                <w:lang w:val="fr-CA"/>
              </w:rPr>
              <w:t>(</w:t>
            </w:r>
            <w:proofErr w:type="gramStart"/>
            <w:r w:rsidRPr="00B46140">
              <w:rPr>
                <w:lang w:val="fr-CA"/>
              </w:rPr>
              <w:t>même</w:t>
            </w:r>
            <w:proofErr w:type="gramEnd"/>
            <w:r w:rsidRPr="00B46140">
              <w:rPr>
                <w:lang w:val="fr-CA"/>
              </w:rPr>
              <w:t xml:space="preserve"> que</w:t>
            </w:r>
          </w:p>
          <w:p w:rsidR="00B46140" w:rsidRPr="00B46140" w:rsidRDefault="00B46140" w:rsidP="00B46140">
            <w:pPr>
              <w:pStyle w:val="ChartHead"/>
              <w:rPr>
                <w:lang w:val="fr-CA"/>
              </w:rPr>
            </w:pPr>
            <w:proofErr w:type="gramStart"/>
            <w:r w:rsidRPr="00B46140">
              <w:rPr>
                <w:lang w:val="fr-CA"/>
              </w:rPr>
              <w:t>ci</w:t>
            </w:r>
            <w:proofErr w:type="gramEnd"/>
            <w:r w:rsidRPr="00B46140">
              <w:rPr>
                <w:lang w:val="fr-CA"/>
              </w:rPr>
              <w:t>-dessus)</w:t>
            </w: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Default="00B46140" w:rsidP="00D35BAF">
            <w:pPr>
              <w:rPr>
                <w:lang w:val="fr-CA"/>
              </w:rPr>
            </w:pPr>
          </w:p>
          <w:p w:rsidR="00B46140" w:rsidRPr="00B46140" w:rsidRDefault="00B46140" w:rsidP="00D35BAF">
            <w:pPr>
              <w:rPr>
                <w:lang w:val="fr-CA"/>
              </w:rPr>
            </w:pPr>
          </w:p>
        </w:tc>
        <w:tc>
          <w:tcPr>
            <w:tcW w:w="4456"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Autres rôles CanMEDS pouvant aisément être mis en valeur dans l’enseignement ou l’évaluation du rôle</w:t>
            </w:r>
            <w:r>
              <w:rPr>
                <w:lang w:val="fr-CA"/>
              </w:rPr>
              <w:t xml:space="preserve"> </w:t>
            </w:r>
            <w:r w:rsidRPr="00B46140">
              <w:rPr>
                <w:lang w:val="fr-CA"/>
              </w:rPr>
              <w:t>d’expert médical.</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 xml:space="preserve">Autres rôles CanMEDS </w:t>
            </w:r>
            <w:proofErr w:type="gramStart"/>
            <w:r w:rsidRPr="00B46140">
              <w:rPr>
                <w:lang w:val="fr-CA"/>
              </w:rPr>
              <w:t>pouvant  aisément</w:t>
            </w:r>
            <w:proofErr w:type="gramEnd"/>
            <w:r w:rsidRPr="00B46140">
              <w:rPr>
                <w:lang w:val="fr-CA"/>
              </w:rPr>
              <w:t xml:space="preserve"> être mis en valeur dans l’enseignement ou l’évaluation du rôle</w:t>
            </w:r>
            <w:r>
              <w:rPr>
                <w:lang w:val="fr-CA"/>
              </w:rPr>
              <w:t xml:space="preserve"> </w:t>
            </w:r>
            <w:r w:rsidRPr="00B46140">
              <w:rPr>
                <w:lang w:val="fr-CA"/>
              </w:rPr>
              <w:t>d’expert médical.</w:t>
            </w:r>
          </w:p>
        </w:tc>
      </w:tr>
      <w:tr w:rsidR="00B46140" w:rsidRPr="00216450" w:rsidTr="00B46140">
        <w:trPr>
          <w:trHeight w:val="60"/>
        </w:trPr>
        <w:tc>
          <w:tcPr>
            <w:tcW w:w="1702" w:type="dxa"/>
            <w:vMerge/>
            <w:tcBorders>
              <w:top w:val="single" w:sz="4" w:space="0" w:color="000000"/>
              <w:left w:val="single" w:sz="6" w:space="0" w:color="000000"/>
              <w:bottom w:val="single" w:sz="4" w:space="0" w:color="000000"/>
              <w:right w:val="single" w:sz="4" w:space="0" w:color="000000"/>
            </w:tcBorders>
            <w:vAlign w:val="center"/>
            <w:hideMark/>
          </w:tcPr>
          <w:p w:rsidR="00B46140" w:rsidRPr="00B46140" w:rsidRDefault="00B46140" w:rsidP="00D35BAF">
            <w:pPr>
              <w:rPr>
                <w:lang w:val="fr-CA"/>
              </w:rPr>
            </w:pPr>
          </w:p>
        </w:tc>
        <w:tc>
          <w:tcPr>
            <w:tcW w:w="21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D35BAF">
            <w:pPr>
              <w:rPr>
                <w:lang w:val="fr-CA"/>
              </w:rPr>
            </w:pPr>
          </w:p>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D35BAF">
            <w:pPr>
              <w:rPr>
                <w:lang w:val="fr-CA"/>
              </w:rPr>
            </w:pPr>
          </w:p>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D35BAF">
            <w:pPr>
              <w:rPr>
                <w:lang w:val="fr-CA"/>
              </w:rPr>
            </w:pPr>
          </w:p>
        </w:tc>
        <w:tc>
          <w:tcPr>
            <w:tcW w:w="232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46140" w:rsidRPr="00B46140" w:rsidRDefault="00B46140" w:rsidP="00D35BAF">
            <w:pPr>
              <w:rPr>
                <w:lang w:val="fr-CA"/>
              </w:rPr>
            </w:pPr>
          </w:p>
        </w:tc>
      </w:tr>
      <w:tr w:rsidR="00B46140" w:rsidRPr="00216450" w:rsidTr="00B46140">
        <w:trPr>
          <w:trHeight w:val="60"/>
        </w:trPr>
        <w:tc>
          <w:tcPr>
            <w:tcW w:w="1702"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B46140">
            <w:pPr>
              <w:pStyle w:val="ChartHead"/>
              <w:rPr>
                <w:lang w:val="fr-CA"/>
              </w:rPr>
            </w:pPr>
            <w:r w:rsidRPr="00B46140">
              <w:rPr>
                <w:lang w:val="fr-CA"/>
              </w:rPr>
              <w:t>SCÉNARIO No 2</w:t>
            </w:r>
          </w:p>
          <w:p w:rsidR="00B46140" w:rsidRPr="00B46140" w:rsidRDefault="00B46140" w:rsidP="00B46140">
            <w:pPr>
              <w:pStyle w:val="ChartHead"/>
              <w:rPr>
                <w:lang w:val="fr-CA"/>
              </w:rPr>
            </w:pPr>
            <w:r w:rsidRPr="00B46140">
              <w:rPr>
                <w:lang w:val="fr-CA"/>
              </w:rPr>
              <w:t>(</w:t>
            </w:r>
            <w:proofErr w:type="gramStart"/>
            <w:r w:rsidRPr="00B46140">
              <w:rPr>
                <w:lang w:val="fr-CA"/>
              </w:rPr>
              <w:t>même</w:t>
            </w:r>
            <w:proofErr w:type="gramEnd"/>
            <w:r w:rsidRPr="00B46140">
              <w:rPr>
                <w:lang w:val="fr-CA"/>
              </w:rPr>
              <w:t xml:space="preserve"> que</w:t>
            </w:r>
          </w:p>
          <w:p w:rsidR="00B46140" w:rsidRPr="00B46140" w:rsidRDefault="00B46140" w:rsidP="00B46140">
            <w:pPr>
              <w:pStyle w:val="ChartHead"/>
              <w:rPr>
                <w:lang w:val="fr-CA"/>
              </w:rPr>
            </w:pPr>
            <w:proofErr w:type="gramStart"/>
            <w:r w:rsidRPr="00B46140">
              <w:rPr>
                <w:lang w:val="fr-CA"/>
              </w:rPr>
              <w:t>ci</w:t>
            </w:r>
            <w:proofErr w:type="gramEnd"/>
            <w:r w:rsidRPr="00B46140">
              <w:rPr>
                <w:lang w:val="fr-CA"/>
              </w:rPr>
              <w:t>-dessus)</w:t>
            </w: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p w:rsidR="00B46140" w:rsidRPr="00B46140" w:rsidRDefault="00B46140" w:rsidP="00D35BAF">
            <w:pPr>
              <w:rPr>
                <w:lang w:val="fr-CA"/>
              </w:rPr>
            </w:pPr>
          </w:p>
        </w:tc>
        <w:tc>
          <w:tcPr>
            <w:tcW w:w="4456"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Autres rôles CanMEDS pouvant aisément être mis en valeur dans l’enseignement ou l’évaluation du rôle</w:t>
            </w:r>
            <w:r>
              <w:rPr>
                <w:lang w:val="fr-CA"/>
              </w:rPr>
              <w:t xml:space="preserve"> </w:t>
            </w:r>
            <w:r w:rsidRPr="00B46140">
              <w:rPr>
                <w:lang w:val="fr-CA"/>
              </w:rPr>
              <w:t>d’expert médical.</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Autres rôles CanMEDS pouvant aisément être mis en valeur dans l’enseignement ou l’évaluation du rôle</w:t>
            </w:r>
            <w:r>
              <w:rPr>
                <w:lang w:val="fr-CA"/>
              </w:rPr>
              <w:t xml:space="preserve"> </w:t>
            </w:r>
            <w:r w:rsidRPr="00B46140">
              <w:rPr>
                <w:lang w:val="fr-CA"/>
              </w:rPr>
              <w:t>d’expert médical.</w:t>
            </w:r>
          </w:p>
        </w:tc>
      </w:tr>
      <w:tr w:rsidR="00B46140" w:rsidRPr="00216450" w:rsidTr="00B46140">
        <w:trPr>
          <w:trHeight w:val="60"/>
        </w:trPr>
        <w:tc>
          <w:tcPr>
            <w:tcW w:w="1702" w:type="dxa"/>
            <w:vMerge/>
            <w:tcBorders>
              <w:top w:val="single" w:sz="4" w:space="0" w:color="000000"/>
              <w:left w:val="single" w:sz="6" w:space="0" w:color="000000"/>
              <w:bottom w:val="single" w:sz="4" w:space="0" w:color="000000"/>
              <w:right w:val="single" w:sz="4" w:space="0" w:color="000000"/>
            </w:tcBorders>
            <w:vAlign w:val="center"/>
            <w:hideMark/>
          </w:tcPr>
          <w:p w:rsidR="00B46140" w:rsidRPr="00B46140" w:rsidRDefault="00B46140" w:rsidP="00D35BAF">
            <w:pPr>
              <w:rPr>
                <w:lang w:val="fr-CA"/>
              </w:rPr>
            </w:pPr>
          </w:p>
        </w:tc>
        <w:tc>
          <w:tcPr>
            <w:tcW w:w="21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D35BAF">
            <w:pPr>
              <w:rPr>
                <w:lang w:val="fr-CA"/>
              </w:rPr>
            </w:pPr>
          </w:p>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D35BAF">
            <w:pPr>
              <w:rPr>
                <w:lang w:val="fr-CA"/>
              </w:rPr>
            </w:pPr>
          </w:p>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46140" w:rsidRPr="00B46140" w:rsidRDefault="00B46140" w:rsidP="00D35BAF">
            <w:pPr>
              <w:rPr>
                <w:lang w:val="fr-CA"/>
              </w:rPr>
            </w:pPr>
          </w:p>
        </w:tc>
        <w:tc>
          <w:tcPr>
            <w:tcW w:w="232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46140" w:rsidRPr="00B46140" w:rsidRDefault="00B46140" w:rsidP="00D35BAF">
            <w:pPr>
              <w:rPr>
                <w:lang w:val="fr-CA"/>
              </w:rPr>
            </w:pPr>
          </w:p>
        </w:tc>
      </w:tr>
    </w:tbl>
    <w:p w:rsidR="00B46140" w:rsidRPr="00B46140" w:rsidRDefault="00B46140" w:rsidP="00B46140">
      <w:pPr>
        <w:rPr>
          <w:lang w:val="fr-CA"/>
        </w:rPr>
      </w:pPr>
    </w:p>
    <w:p w:rsidR="00B46140" w:rsidRPr="00216450" w:rsidRDefault="00B46140" w:rsidP="00B46140">
      <w:pPr>
        <w:rPr>
          <w:lang w:val="fr-CA"/>
        </w:rPr>
      </w:pPr>
      <w:r w:rsidRPr="00216450">
        <w:rPr>
          <w:lang w:val="fr-CA"/>
        </w:rPr>
        <w:lastRenderedPageBreak/>
        <w:t>Commentaires :</w:t>
      </w:r>
    </w:p>
    <w:p w:rsidR="00B46140" w:rsidRPr="00216450" w:rsidRDefault="00B46140" w:rsidP="00B46140">
      <w:pPr>
        <w:rPr>
          <w:lang w:val="fr-CA"/>
        </w:rPr>
      </w:pPr>
    </w:p>
    <w:p w:rsidR="00B46140" w:rsidRPr="00216450" w:rsidRDefault="00B46140" w:rsidP="00B46140">
      <w:pPr>
        <w:rPr>
          <w:lang w:val="fr-CA"/>
        </w:rPr>
      </w:pPr>
    </w:p>
    <w:p w:rsidR="00B46140" w:rsidRPr="00216450" w:rsidRDefault="00B46140" w:rsidP="00B46140">
      <w:pPr>
        <w:rPr>
          <w:lang w:val="fr-CA"/>
        </w:rPr>
      </w:pPr>
    </w:p>
    <w:p w:rsidR="00B46140" w:rsidRPr="00216450" w:rsidRDefault="00B46140" w:rsidP="00B46140">
      <w:pPr>
        <w:pStyle w:val="Heading2"/>
        <w:rPr>
          <w:lang w:val="fr-CA"/>
        </w:rPr>
      </w:pPr>
      <w:r w:rsidRPr="00216450">
        <w:rPr>
          <w:lang w:val="fr-CA"/>
        </w:rPr>
        <w:t>RESSOURCES POUR LES APPRENANTS</w:t>
      </w:r>
    </w:p>
    <w:p w:rsidR="00B46140" w:rsidRPr="00B46140" w:rsidRDefault="00B46140" w:rsidP="00B46140">
      <w:pPr>
        <w:rPr>
          <w:lang w:val="fr-CA"/>
        </w:rPr>
      </w:pPr>
      <w:r w:rsidRPr="00B46140">
        <w:rPr>
          <w:lang w:val="fr-CA"/>
        </w:rPr>
        <w:t xml:space="preserve">Tableau 1 : Les cinq étapes d’apprentissage du continuum de compétence de l’expert médical </w:t>
      </w:r>
    </w:p>
    <w:tbl>
      <w:tblPr>
        <w:tblW w:w="0" w:type="auto"/>
        <w:tblInd w:w="90" w:type="dxa"/>
        <w:tblLayout w:type="fixed"/>
        <w:tblCellMar>
          <w:left w:w="0" w:type="dxa"/>
          <w:right w:w="0" w:type="dxa"/>
        </w:tblCellMar>
        <w:tblLook w:val="04A0" w:firstRow="1" w:lastRow="0" w:firstColumn="1" w:lastColumn="0" w:noHBand="0" w:noVBand="1"/>
      </w:tblPr>
      <w:tblGrid>
        <w:gridCol w:w="2160"/>
        <w:gridCol w:w="2160"/>
        <w:gridCol w:w="2160"/>
        <w:gridCol w:w="2160"/>
        <w:gridCol w:w="2160"/>
      </w:tblGrid>
      <w:tr w:rsidR="00B46140" w:rsidTr="00D35BAF">
        <w:trPr>
          <w:trHeight w:val="713"/>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4F53AC" w:rsidRDefault="00B46140" w:rsidP="00B46140">
            <w:pPr>
              <w:pStyle w:val="ChartHead"/>
              <w:jc w:val="center"/>
            </w:pPr>
            <w:r w:rsidRPr="004F53AC">
              <w:t>1.</w:t>
            </w:r>
          </w:p>
          <w:p w:rsidR="00B46140" w:rsidRDefault="00B46140" w:rsidP="00B46140">
            <w:pPr>
              <w:pStyle w:val="ChartHead"/>
              <w:jc w:val="center"/>
            </w:pPr>
            <w:r w:rsidRPr="004F53AC">
              <w:t xml:space="preserve">Entrée </w:t>
            </w:r>
            <w:proofErr w:type="spellStart"/>
            <w:r w:rsidRPr="004F53AC">
              <w:t>en</w:t>
            </w:r>
            <w:proofErr w:type="spellEnd"/>
            <w:r w:rsidRPr="004F53AC">
              <w:t xml:space="preserve"> </w:t>
            </w:r>
            <w:proofErr w:type="spellStart"/>
            <w:r w:rsidRPr="004F53AC">
              <w:t>résidence</w:t>
            </w:r>
            <w:proofErr w:type="spellEnd"/>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4F53AC" w:rsidRDefault="00B46140" w:rsidP="00B46140">
            <w:pPr>
              <w:pStyle w:val="ChartHead"/>
              <w:jc w:val="center"/>
            </w:pPr>
            <w:r w:rsidRPr="004F53AC">
              <w:t>2.</w:t>
            </w:r>
          </w:p>
          <w:p w:rsidR="00B46140" w:rsidRPr="004F53AC" w:rsidRDefault="00B46140" w:rsidP="00B46140">
            <w:pPr>
              <w:pStyle w:val="ChartHead"/>
              <w:jc w:val="center"/>
            </w:pPr>
            <w:r w:rsidRPr="004F53AC">
              <w:t xml:space="preserve">Progression </w:t>
            </w:r>
            <w:proofErr w:type="spellStart"/>
            <w:r w:rsidRPr="004F53AC">
              <w:t>vers</w:t>
            </w:r>
            <w:proofErr w:type="spellEnd"/>
          </w:p>
          <w:p w:rsidR="00B46140" w:rsidRDefault="00B46140" w:rsidP="00B46140">
            <w:pPr>
              <w:pStyle w:val="ChartHead"/>
              <w:jc w:val="center"/>
            </w:pPr>
            <w:r w:rsidRPr="004F53AC">
              <w:t>la discipline</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Head"/>
              <w:jc w:val="center"/>
              <w:rPr>
                <w:lang w:val="fr-CA"/>
              </w:rPr>
            </w:pPr>
            <w:r w:rsidRPr="00B46140">
              <w:rPr>
                <w:lang w:val="fr-CA"/>
              </w:rPr>
              <w:t>3.</w:t>
            </w:r>
          </w:p>
          <w:p w:rsidR="00B46140" w:rsidRPr="00B46140" w:rsidRDefault="00B46140" w:rsidP="00B46140">
            <w:pPr>
              <w:pStyle w:val="ChartHead"/>
              <w:jc w:val="center"/>
              <w:rPr>
                <w:lang w:val="fr-CA"/>
              </w:rPr>
            </w:pPr>
            <w:r w:rsidRPr="00B46140">
              <w:rPr>
                <w:lang w:val="fr-CA"/>
              </w:rPr>
              <w:t>Acquisition des</w:t>
            </w:r>
          </w:p>
          <w:p w:rsidR="00B46140" w:rsidRPr="00B46140" w:rsidRDefault="00B46140" w:rsidP="00B46140">
            <w:pPr>
              <w:pStyle w:val="ChartHead"/>
              <w:jc w:val="center"/>
              <w:rPr>
                <w:lang w:val="fr-CA"/>
              </w:rPr>
            </w:pPr>
            <w:proofErr w:type="gramStart"/>
            <w:r w:rsidRPr="00B46140">
              <w:rPr>
                <w:lang w:val="fr-CA"/>
              </w:rPr>
              <w:t>fondements</w:t>
            </w:r>
            <w:proofErr w:type="gramEnd"/>
            <w:r w:rsidRPr="00B46140">
              <w:rPr>
                <w:lang w:val="fr-CA"/>
              </w:rPr>
              <w:t xml:space="preserve"> de</w:t>
            </w:r>
          </w:p>
          <w:p w:rsidR="00B46140" w:rsidRPr="00B46140" w:rsidRDefault="00B46140" w:rsidP="00B46140">
            <w:pPr>
              <w:pStyle w:val="ChartHead"/>
              <w:jc w:val="center"/>
              <w:rPr>
                <w:lang w:val="fr-CA"/>
              </w:rPr>
            </w:pPr>
            <w:proofErr w:type="gramStart"/>
            <w:r w:rsidRPr="00B46140">
              <w:rPr>
                <w:lang w:val="fr-CA"/>
              </w:rPr>
              <w:t>la</w:t>
            </w:r>
            <w:proofErr w:type="gramEnd"/>
            <w:r w:rsidRPr="00B46140">
              <w:rPr>
                <w:lang w:val="fr-CA"/>
              </w:rPr>
              <w:t xml:space="preserve"> discipline</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4F53AC" w:rsidRDefault="00B46140" w:rsidP="00B46140">
            <w:pPr>
              <w:pStyle w:val="ChartHead"/>
              <w:jc w:val="center"/>
            </w:pPr>
            <w:r w:rsidRPr="004F53AC">
              <w:t>4.</w:t>
            </w:r>
          </w:p>
          <w:p w:rsidR="00B46140" w:rsidRPr="004F53AC" w:rsidRDefault="00B46140" w:rsidP="00B46140">
            <w:pPr>
              <w:pStyle w:val="ChartHead"/>
              <w:jc w:val="center"/>
            </w:pPr>
            <w:proofErr w:type="spellStart"/>
            <w:r w:rsidRPr="004F53AC">
              <w:t>Maîtrise</w:t>
            </w:r>
            <w:proofErr w:type="spellEnd"/>
            <w:r w:rsidRPr="004F53AC">
              <w:t xml:space="preserve"> de</w:t>
            </w:r>
          </w:p>
          <w:p w:rsidR="00B46140" w:rsidRDefault="00B46140" w:rsidP="00B46140">
            <w:pPr>
              <w:pStyle w:val="ChartHead"/>
              <w:jc w:val="center"/>
            </w:pPr>
            <w:r w:rsidRPr="004F53AC">
              <w:t>la discipline</w:t>
            </w:r>
          </w:p>
        </w:tc>
        <w:tc>
          <w:tcPr>
            <w:tcW w:w="21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4F53AC" w:rsidRDefault="00B46140" w:rsidP="00B46140">
            <w:pPr>
              <w:pStyle w:val="ChartHead"/>
              <w:jc w:val="center"/>
            </w:pPr>
            <w:r w:rsidRPr="004F53AC">
              <w:t>5.</w:t>
            </w:r>
          </w:p>
          <w:p w:rsidR="00B46140" w:rsidRPr="004F53AC" w:rsidRDefault="00B46140" w:rsidP="00B46140">
            <w:pPr>
              <w:pStyle w:val="ChartHead"/>
              <w:jc w:val="center"/>
            </w:pPr>
            <w:r w:rsidRPr="004F53AC">
              <w:t xml:space="preserve">Transition </w:t>
            </w:r>
            <w:proofErr w:type="spellStart"/>
            <w:r w:rsidRPr="004F53AC">
              <w:t>vers</w:t>
            </w:r>
            <w:proofErr w:type="spellEnd"/>
          </w:p>
          <w:p w:rsidR="00B46140" w:rsidRDefault="00B46140" w:rsidP="00B46140">
            <w:pPr>
              <w:pStyle w:val="ChartHead"/>
              <w:jc w:val="center"/>
            </w:pPr>
            <w:r w:rsidRPr="004F53AC">
              <w:t xml:space="preserve">la </w:t>
            </w:r>
            <w:proofErr w:type="spellStart"/>
            <w:r w:rsidRPr="004F53AC">
              <w:t>pratique</w:t>
            </w:r>
            <w:proofErr w:type="spellEnd"/>
          </w:p>
        </w:tc>
      </w:tr>
      <w:tr w:rsidR="00B46140" w:rsidRPr="00216450" w:rsidTr="00D35BAF">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découvre la résidence et l’inventaire des connaissances et compétences qu’il devra acquérir.</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Il connaît des éléments clés des cas de routine les plus fréquents, des situations courantes et des problèmes peu complexes, et sait comment intervenir.</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Il sait gérer les cas de routine les plus fréquents, les situations courantes et les problèmes peu complexes, et a rencontré des situations ou problèmes plus complexes; il comprend les cas de comorbidité ayant une incidence sur les soins aux patients.</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Il gère avec efficacité et en toute autonomie les cas de routine les plus fréquents, les situations courantes et les problèmes peu complexes, et sait réagir aux situations ou problèmes plus complexes avec du soutien; il gère les cas de comorbidité ayant une incidence sur les soins aux patients; il définit les priorités avec de plus en plus d’efficacité.</w:t>
            </w:r>
          </w:p>
        </w:tc>
        <w:tc>
          <w:tcPr>
            <w:tcW w:w="21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Il sait prendre en</w:t>
            </w:r>
          </w:p>
          <w:p w:rsidR="00B46140" w:rsidRPr="00B46140" w:rsidRDefault="00B46140" w:rsidP="00B46140">
            <w:pPr>
              <w:pStyle w:val="ChartBodyLeft"/>
              <w:rPr>
                <w:lang w:val="fr-CA"/>
              </w:rPr>
            </w:pPr>
            <w:proofErr w:type="gramStart"/>
            <w:r w:rsidRPr="00B46140">
              <w:rPr>
                <w:lang w:val="fr-CA"/>
              </w:rPr>
              <w:t>charge</w:t>
            </w:r>
            <w:proofErr w:type="gramEnd"/>
            <w:r w:rsidRPr="00B46140">
              <w:rPr>
                <w:lang w:val="fr-CA"/>
              </w:rPr>
              <w:t xml:space="preserve"> des situations et</w:t>
            </w:r>
          </w:p>
          <w:p w:rsidR="00B46140" w:rsidRPr="00B46140" w:rsidRDefault="00B46140" w:rsidP="00B46140">
            <w:pPr>
              <w:pStyle w:val="ChartBodyLeft"/>
              <w:rPr>
                <w:lang w:val="fr-CA"/>
              </w:rPr>
            </w:pPr>
            <w:proofErr w:type="gramStart"/>
            <w:r w:rsidRPr="00B46140">
              <w:rPr>
                <w:lang w:val="fr-CA"/>
              </w:rPr>
              <w:t>problèmes</w:t>
            </w:r>
            <w:proofErr w:type="gramEnd"/>
            <w:r w:rsidRPr="00B46140">
              <w:rPr>
                <w:lang w:val="fr-CA"/>
              </w:rPr>
              <w:t xml:space="preserve"> complexes,</w:t>
            </w:r>
          </w:p>
          <w:p w:rsidR="00B46140" w:rsidRPr="00B46140" w:rsidRDefault="00B46140" w:rsidP="00B46140">
            <w:pPr>
              <w:pStyle w:val="ChartBodyLeft"/>
              <w:rPr>
                <w:lang w:val="fr-CA"/>
              </w:rPr>
            </w:pPr>
            <w:proofErr w:type="gramStart"/>
            <w:r w:rsidRPr="00B46140">
              <w:rPr>
                <w:lang w:val="fr-CA"/>
              </w:rPr>
              <w:t>et</w:t>
            </w:r>
            <w:proofErr w:type="gramEnd"/>
            <w:r w:rsidRPr="00B46140">
              <w:rPr>
                <w:lang w:val="fr-CA"/>
              </w:rPr>
              <w:t xml:space="preserve"> guider et appuyer les autres; il sait gérer diverses priorités concurrentes; il acquiert du discernement et de la sagesse, lui permettant de décider parmi plusieurs voies d’action.</w:t>
            </w:r>
          </w:p>
        </w:tc>
      </w:tr>
    </w:tbl>
    <w:p w:rsidR="00B46140" w:rsidRPr="00B46140" w:rsidRDefault="00B46140" w:rsidP="00B46140">
      <w:pPr>
        <w:rPr>
          <w:lang w:val="fr-CA"/>
        </w:rPr>
      </w:pPr>
    </w:p>
    <w:p w:rsidR="00B46140" w:rsidRPr="00B46140" w:rsidRDefault="00B46140" w:rsidP="00B46140">
      <w:pPr>
        <w:spacing w:after="0"/>
        <w:rPr>
          <w:lang w:val="fr-CA"/>
        </w:rPr>
      </w:pPr>
      <w:r w:rsidRPr="00B46140">
        <w:rPr>
          <w:lang w:val="fr-CA"/>
        </w:rPr>
        <w:t xml:space="preserve">DÉBUT  </w:t>
      </w:r>
      <w:r>
        <w:sym w:font="Wingdings" w:char="F0DF"/>
      </w:r>
      <w:r w:rsidRPr="00B46140">
        <w:rPr>
          <w:lang w:val="fr-CA"/>
        </w:rPr>
        <w:t>--------------------------------------</w:t>
      </w:r>
      <w:r>
        <w:rPr>
          <w:lang w:val="fr-CA"/>
        </w:rPr>
        <w:t>-----------------------------</w:t>
      </w:r>
      <w:r w:rsidRPr="00B46140">
        <w:rPr>
          <w:lang w:val="fr-CA"/>
        </w:rPr>
        <w:t>------------------------------------------------</w:t>
      </w:r>
      <w:r>
        <w:sym w:font="Wingdings" w:char="F0E0"/>
      </w:r>
      <w:r w:rsidRPr="00B46140">
        <w:rPr>
          <w:lang w:val="fr-CA"/>
        </w:rPr>
        <w:t xml:space="preserve">  FIN</w:t>
      </w:r>
    </w:p>
    <w:p w:rsidR="00B46140" w:rsidRPr="00B46140" w:rsidRDefault="00B46140" w:rsidP="00B46140">
      <w:pPr>
        <w:spacing w:after="0"/>
        <w:rPr>
          <w:lang w:val="fr-CA"/>
        </w:rPr>
      </w:pPr>
      <w:proofErr w:type="gramStart"/>
      <w:r w:rsidRPr="00B46140">
        <w:rPr>
          <w:lang w:val="fr-CA"/>
        </w:rPr>
        <w:t>de</w:t>
      </w:r>
      <w:proofErr w:type="gramEnd"/>
      <w:r w:rsidRPr="00B46140">
        <w:rPr>
          <w:lang w:val="fr-CA"/>
        </w:rPr>
        <w:t xml:space="preserve"> la résidence</w:t>
      </w:r>
      <w:r w:rsidRPr="00B46140">
        <w:rPr>
          <w:lang w:val="fr-CA"/>
        </w:rPr>
        <w:tab/>
      </w:r>
      <w:r w:rsidRPr="00B46140">
        <w:rPr>
          <w:lang w:val="fr-CA"/>
        </w:rPr>
        <w:tab/>
      </w:r>
      <w:r w:rsidRPr="00B46140">
        <w:rPr>
          <w:lang w:val="fr-CA"/>
        </w:rPr>
        <w:tab/>
      </w:r>
      <w:r w:rsidRPr="00B46140">
        <w:rPr>
          <w:lang w:val="fr-CA"/>
        </w:rPr>
        <w:tab/>
      </w:r>
      <w:r w:rsidRPr="00B46140">
        <w:rPr>
          <w:lang w:val="fr-CA"/>
        </w:rPr>
        <w:tab/>
      </w:r>
      <w:r w:rsidRPr="00B46140">
        <w:rPr>
          <w:lang w:val="fr-CA"/>
        </w:rPr>
        <w:tab/>
      </w:r>
      <w:r w:rsidRPr="00B46140">
        <w:rPr>
          <w:lang w:val="fr-CA"/>
        </w:rPr>
        <w:tab/>
      </w:r>
      <w:r w:rsidRPr="00B46140">
        <w:rPr>
          <w:lang w:val="fr-CA"/>
        </w:rPr>
        <w:tab/>
      </w:r>
      <w:r w:rsidRPr="00B46140">
        <w:rPr>
          <w:lang w:val="fr-CA"/>
        </w:rPr>
        <w:tab/>
      </w:r>
      <w:r w:rsidRPr="00B46140">
        <w:rPr>
          <w:lang w:val="fr-CA"/>
        </w:rPr>
        <w:tab/>
      </w:r>
      <w:r>
        <w:rPr>
          <w:lang w:val="fr-CA"/>
        </w:rPr>
        <w:t xml:space="preserve">     </w:t>
      </w:r>
      <w:r w:rsidRPr="00B46140">
        <w:rPr>
          <w:lang w:val="fr-CA"/>
        </w:rPr>
        <w:t xml:space="preserve">  de la résidence</w:t>
      </w:r>
    </w:p>
    <w:p w:rsidR="00B46140" w:rsidRPr="00B46140" w:rsidRDefault="00B46140" w:rsidP="00B46140">
      <w:pPr>
        <w:rPr>
          <w:lang w:val="fr-CA"/>
        </w:rPr>
      </w:pPr>
    </w:p>
    <w:p w:rsidR="00B46140" w:rsidRDefault="00B46140" w:rsidP="00B46140">
      <w:pPr>
        <w:rPr>
          <w:lang w:val="fr-CA"/>
        </w:rPr>
      </w:pPr>
    </w:p>
    <w:p w:rsidR="00B46140" w:rsidRDefault="00B46140" w:rsidP="00B46140">
      <w:pPr>
        <w:rPr>
          <w:lang w:val="fr-CA"/>
        </w:rPr>
      </w:pPr>
    </w:p>
    <w:p w:rsidR="00B46140" w:rsidRDefault="00B46140" w:rsidP="00B46140">
      <w:pPr>
        <w:rPr>
          <w:lang w:val="fr-CA"/>
        </w:rPr>
      </w:pPr>
    </w:p>
    <w:p w:rsidR="00B46140" w:rsidRPr="00B46140" w:rsidRDefault="00B46140" w:rsidP="00B46140">
      <w:pPr>
        <w:rPr>
          <w:lang w:val="fr-CA"/>
        </w:rPr>
      </w:pPr>
    </w:p>
    <w:p w:rsidR="00B46140" w:rsidRPr="00B46140" w:rsidRDefault="00B46140" w:rsidP="00B46140">
      <w:pPr>
        <w:rPr>
          <w:lang w:val="fr-CA"/>
        </w:rPr>
      </w:pPr>
      <w:r w:rsidRPr="00B46140">
        <w:rPr>
          <w:lang w:val="fr-CA"/>
        </w:rPr>
        <w:lastRenderedPageBreak/>
        <w:t>Tableau 2: Exemples d’activités de l’expert médical à deux points du continuum de compétence</w:t>
      </w:r>
    </w:p>
    <w:tbl>
      <w:tblPr>
        <w:tblW w:w="10800" w:type="dxa"/>
        <w:tblInd w:w="90" w:type="dxa"/>
        <w:tblLayout w:type="fixed"/>
        <w:tblCellMar>
          <w:left w:w="0" w:type="dxa"/>
          <w:right w:w="0" w:type="dxa"/>
        </w:tblCellMar>
        <w:tblLook w:val="04A0" w:firstRow="1" w:lastRow="0" w:firstColumn="1" w:lastColumn="0" w:noHBand="0" w:noVBand="1"/>
      </w:tblPr>
      <w:tblGrid>
        <w:gridCol w:w="1934"/>
        <w:gridCol w:w="4433"/>
        <w:gridCol w:w="4433"/>
      </w:tblGrid>
      <w:tr w:rsidR="00B46140" w:rsidRPr="00216450" w:rsidTr="00D35BAF">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Head"/>
              <w:rPr>
                <w:lang w:val="fr-CA"/>
              </w:rPr>
            </w:pPr>
            <w:r w:rsidRPr="00B46140">
              <w:rPr>
                <w:lang w:val="fr-CA"/>
              </w:rPr>
              <w:t>Scénario lié à</w:t>
            </w:r>
          </w:p>
          <w:p w:rsidR="00B46140" w:rsidRPr="00B46140" w:rsidRDefault="00B46140" w:rsidP="00B46140">
            <w:pPr>
              <w:pStyle w:val="ChartHead"/>
              <w:rPr>
                <w:lang w:val="fr-CA"/>
              </w:rPr>
            </w:pPr>
            <w:proofErr w:type="gramStart"/>
            <w:r w:rsidRPr="00B46140">
              <w:rPr>
                <w:lang w:val="fr-CA"/>
              </w:rPr>
              <w:t>la</w:t>
            </w:r>
            <w:proofErr w:type="gramEnd"/>
            <w:r w:rsidRPr="00B46140">
              <w:rPr>
                <w:lang w:val="fr-CA"/>
              </w:rPr>
              <w:t xml:space="preserve"> pratique de tous</w:t>
            </w:r>
          </w:p>
          <w:p w:rsidR="00B46140" w:rsidRDefault="00B46140" w:rsidP="00B46140">
            <w:pPr>
              <w:pStyle w:val="ChartHead"/>
            </w:pPr>
            <w:r w:rsidRPr="00AF4A1E">
              <w:t xml:space="preserve">les </w:t>
            </w:r>
            <w:proofErr w:type="spellStart"/>
            <w:r w:rsidRPr="00AF4A1E">
              <w:t>jours</w:t>
            </w:r>
            <w:proofErr w:type="spellEnd"/>
          </w:p>
        </w:tc>
        <w:tc>
          <w:tcPr>
            <w:tcW w:w="4433"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hideMark/>
          </w:tcPr>
          <w:p w:rsidR="00B46140" w:rsidRPr="00B46140" w:rsidRDefault="00B46140" w:rsidP="00B46140">
            <w:pPr>
              <w:pStyle w:val="ChartHead"/>
              <w:rPr>
                <w:lang w:val="fr-CA"/>
              </w:rPr>
            </w:pPr>
            <w:r w:rsidRPr="00B46140">
              <w:rPr>
                <w:lang w:val="fr-CA"/>
              </w:rPr>
              <w:t>Situation courante et problème</w:t>
            </w:r>
            <w:r>
              <w:rPr>
                <w:lang w:val="fr-CA"/>
              </w:rPr>
              <w:t xml:space="preserve"> </w:t>
            </w:r>
            <w:r w:rsidRPr="00B46140">
              <w:rPr>
                <w:lang w:val="fr-CA"/>
              </w:rPr>
              <w:t>peu complexe</w:t>
            </w:r>
          </w:p>
          <w:p w:rsidR="00B46140" w:rsidRPr="00B46140" w:rsidRDefault="00B46140" w:rsidP="00B46140">
            <w:pPr>
              <w:pStyle w:val="ChartBodyLeft"/>
              <w:rPr>
                <w:lang w:val="fr-CA"/>
              </w:rPr>
            </w:pPr>
            <w:r w:rsidRPr="00B46140">
              <w:rPr>
                <w:lang w:val="fr-CA"/>
              </w:rPr>
              <w:t>(</w:t>
            </w:r>
            <w:proofErr w:type="gramStart"/>
            <w:r w:rsidRPr="00B46140">
              <w:rPr>
                <w:lang w:val="fr-CA"/>
              </w:rPr>
              <w:t>l’expert</w:t>
            </w:r>
            <w:proofErr w:type="gramEnd"/>
            <w:r w:rsidRPr="00B46140">
              <w:rPr>
                <w:lang w:val="fr-CA"/>
              </w:rPr>
              <w:t xml:space="preserve"> médical au début de sa formation)</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Head"/>
              <w:rPr>
                <w:lang w:val="fr-CA"/>
              </w:rPr>
            </w:pPr>
            <w:r w:rsidRPr="00B46140">
              <w:rPr>
                <w:lang w:val="fr-CA"/>
              </w:rPr>
              <w:t>Problème complexe</w:t>
            </w:r>
          </w:p>
          <w:p w:rsidR="00B46140" w:rsidRPr="00B46140" w:rsidRDefault="00B46140" w:rsidP="00B46140">
            <w:pPr>
              <w:pStyle w:val="ChartBodyLeft"/>
              <w:rPr>
                <w:b/>
                <w:lang w:val="fr-CA"/>
              </w:rPr>
            </w:pPr>
            <w:r w:rsidRPr="00B46140">
              <w:rPr>
                <w:lang w:val="fr-CA"/>
              </w:rPr>
              <w:t>(</w:t>
            </w:r>
            <w:proofErr w:type="gramStart"/>
            <w:r w:rsidRPr="00B46140">
              <w:rPr>
                <w:lang w:val="fr-CA"/>
              </w:rPr>
              <w:t>l’expert</w:t>
            </w:r>
            <w:proofErr w:type="gramEnd"/>
            <w:r w:rsidRPr="00B46140">
              <w:rPr>
                <w:lang w:val="fr-CA"/>
              </w:rPr>
              <w:t xml:space="preserve"> médical avancé dans</w:t>
            </w:r>
            <w:r>
              <w:rPr>
                <w:lang w:val="fr-CA"/>
              </w:rPr>
              <w:t xml:space="preserve"> </w:t>
            </w:r>
            <w:r w:rsidRPr="00B46140">
              <w:rPr>
                <w:lang w:val="fr-CA"/>
              </w:rPr>
              <w:t>sa formation)</w:t>
            </w:r>
          </w:p>
        </w:tc>
      </w:tr>
      <w:tr w:rsidR="00B46140" w:rsidRPr="00216450" w:rsidTr="00D35BAF">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Dossier de patient préparé par l’apprenant et présenté à l’éducateur</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présente un sommaire de l’historique du patient, un inventaire de ses problèmes et un plan de traitement en format standard à son éducateur prêt à lui offrir du soutien.</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Les résultats de tests sanguins nécessaires à la préparation d’un plan de traitement approprié n’étant pas encore accessibles, l’apprenant, occupé à gérer les priorités d’autres patients, n’a pas réalisé ce délai à temps avant la tournée des patients alors qu’il aurait dû demander les résultats par téléphone.</w:t>
            </w:r>
          </w:p>
        </w:tc>
      </w:tr>
      <w:tr w:rsidR="00B46140" w:rsidRPr="00216450" w:rsidTr="00D35BAF">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Tournée au chevet des</w:t>
            </w:r>
          </w:p>
          <w:p w:rsidR="00B46140" w:rsidRPr="00B46140" w:rsidRDefault="00B46140" w:rsidP="00B46140">
            <w:pPr>
              <w:pStyle w:val="ChartBodyLeft"/>
              <w:rPr>
                <w:lang w:val="fr-CA"/>
              </w:rPr>
            </w:pPr>
            <w:proofErr w:type="gramStart"/>
            <w:r w:rsidRPr="00B46140">
              <w:rPr>
                <w:lang w:val="fr-CA"/>
              </w:rPr>
              <w:t>patients</w:t>
            </w:r>
            <w:proofErr w:type="gramEnd"/>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participe aux tournées de son équipe avec un éducateur, auprès de patients ayant des problèmes de santé qu’il connaît bien.</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présente un survol nuancé de la documentation et formule des recommandations fondées sur les pratiques exemplaires courantes.</w:t>
            </w:r>
          </w:p>
        </w:tc>
      </w:tr>
      <w:tr w:rsidR="00B46140" w:rsidRPr="00216450" w:rsidTr="00D35BAF">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Default="00B46140" w:rsidP="00B46140">
            <w:pPr>
              <w:pStyle w:val="ChartBodyLeft"/>
            </w:pPr>
            <w:r>
              <w:t>Consultation</w:t>
            </w:r>
          </w:p>
          <w:p w:rsidR="00B46140" w:rsidRDefault="00B46140" w:rsidP="00B46140">
            <w:pPr>
              <w:pStyle w:val="ChartBodyLeft"/>
            </w:pPr>
            <w:proofErr w:type="spellStart"/>
            <w:r>
              <w:t>téléphonique</w:t>
            </w:r>
            <w:proofErr w:type="spellEnd"/>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discute au téléphone avec un médecin de soins primaires au sujet d’un suivi nécessaire en contexte communautaire.</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appelle le spécialiste traitant qui pratique dans une autre collectivité afin de l’aviser que l’intervention demandée ne peut être</w:t>
            </w:r>
          </w:p>
          <w:p w:rsidR="00B46140" w:rsidRPr="00B46140" w:rsidRDefault="00B46140" w:rsidP="00B46140">
            <w:pPr>
              <w:pStyle w:val="ChartBodyLeft"/>
              <w:rPr>
                <w:lang w:val="fr-CA"/>
              </w:rPr>
            </w:pPr>
            <w:proofErr w:type="gramStart"/>
            <w:r w:rsidRPr="00B46140">
              <w:rPr>
                <w:lang w:val="fr-CA"/>
              </w:rPr>
              <w:t>effectuée</w:t>
            </w:r>
            <w:proofErr w:type="gramEnd"/>
            <w:r w:rsidRPr="00B46140">
              <w:rPr>
                <w:lang w:val="fr-CA"/>
              </w:rPr>
              <w:t xml:space="preserve"> (en raison d’un manque de personnel ou d’équipement entraînant des délais). L’apprenant résout ensuite la situation avec le spécialiste, propose d’autres solutions, etc.</w:t>
            </w:r>
          </w:p>
        </w:tc>
      </w:tr>
      <w:tr w:rsidR="00B46140" w:rsidRPr="00216450" w:rsidTr="00D35BAF">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46140" w:rsidRDefault="00B46140" w:rsidP="00B46140">
            <w:pPr>
              <w:pStyle w:val="ChartBodyLeft"/>
            </w:pPr>
            <w:proofErr w:type="spellStart"/>
            <w:r w:rsidRPr="00AF4A1E">
              <w:t>Objectifs</w:t>
            </w:r>
            <w:proofErr w:type="spellEnd"/>
            <w:r w:rsidRPr="00AF4A1E">
              <w:t xml:space="preserve"> de </w:t>
            </w:r>
            <w:proofErr w:type="spellStart"/>
            <w:r w:rsidRPr="00AF4A1E">
              <w:t>soins</w:t>
            </w:r>
            <w:proofErr w:type="spellEnd"/>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L’apprenant rencontre un patient accompagné d’un proche avant une chirurgie afin de discuter de ses options en matière de chirurgies électives.</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46140" w:rsidRPr="00B46140" w:rsidRDefault="00B46140" w:rsidP="00B46140">
            <w:pPr>
              <w:pStyle w:val="ChartBodyLeft"/>
              <w:rPr>
                <w:lang w:val="fr-CA"/>
              </w:rPr>
            </w:pPr>
            <w:r w:rsidRPr="00B46140">
              <w:rPr>
                <w:lang w:val="fr-CA"/>
              </w:rPr>
              <w:t>Après la chirurgie, l’apprenant rencontre le patient accompagné de trois proches ayant une connaissance limitée de l’anglais et du français, afin de discuter d’un grave rapport de pathologie et de planifier d’autres traitements, le tout en présence d’un interprète.</w:t>
            </w:r>
          </w:p>
        </w:tc>
      </w:tr>
    </w:tbl>
    <w:p w:rsidR="00B46140" w:rsidRDefault="00B46140" w:rsidP="00B46140">
      <w:pPr>
        <w:rPr>
          <w:lang w:val="fr-CA"/>
        </w:rPr>
      </w:pPr>
    </w:p>
    <w:p w:rsidR="00B46140" w:rsidRPr="00B46140" w:rsidRDefault="00B46140" w:rsidP="00966096">
      <w:pPr>
        <w:spacing w:after="0"/>
        <w:rPr>
          <w:lang w:val="fr-CA"/>
        </w:rPr>
      </w:pPr>
      <w:r w:rsidRPr="00B46140">
        <w:rPr>
          <w:lang w:val="fr-CA"/>
        </w:rPr>
        <w:t xml:space="preserve">DÉBUT  </w:t>
      </w:r>
      <w:r>
        <w:sym w:font="Wingdings" w:char="F0DF"/>
      </w:r>
      <w:r w:rsidRPr="00B46140">
        <w:rPr>
          <w:lang w:val="fr-CA"/>
        </w:rPr>
        <w:t>-------------------------------------------------------------</w:t>
      </w:r>
      <w:r>
        <w:rPr>
          <w:lang w:val="fr-CA"/>
        </w:rPr>
        <w:t>------------------------------------------</w:t>
      </w:r>
      <w:r w:rsidRPr="00B46140">
        <w:rPr>
          <w:lang w:val="fr-CA"/>
        </w:rPr>
        <w:t>-----------</w:t>
      </w:r>
      <w:r>
        <w:sym w:font="Wingdings" w:char="F0E0"/>
      </w:r>
      <w:r w:rsidRPr="00B46140">
        <w:rPr>
          <w:lang w:val="fr-CA"/>
        </w:rPr>
        <w:t xml:space="preserve">    FIN</w:t>
      </w:r>
    </w:p>
    <w:p w:rsidR="00B46140" w:rsidRPr="00B46140" w:rsidRDefault="00B46140" w:rsidP="00966096">
      <w:pPr>
        <w:spacing w:after="0"/>
        <w:rPr>
          <w:lang w:val="fr-CA"/>
        </w:rPr>
      </w:pPr>
      <w:proofErr w:type="gramStart"/>
      <w:r w:rsidRPr="00B46140">
        <w:rPr>
          <w:lang w:val="fr-CA"/>
        </w:rPr>
        <w:t>de</w:t>
      </w:r>
      <w:proofErr w:type="gramEnd"/>
      <w:r w:rsidRPr="00B46140">
        <w:rPr>
          <w:lang w:val="fr-CA"/>
        </w:rPr>
        <w:t xml:space="preserve"> la résidenc</w:t>
      </w:r>
      <w:r>
        <w:rPr>
          <w:lang w:val="fr-CA"/>
        </w:rPr>
        <w:t>e</w:t>
      </w:r>
      <w:r w:rsidR="00966096">
        <w:rPr>
          <w:lang w:val="fr-CA"/>
        </w:rPr>
        <w:tab/>
      </w:r>
      <w:r w:rsidR="00966096">
        <w:rPr>
          <w:lang w:val="fr-CA"/>
        </w:rPr>
        <w:tab/>
      </w:r>
      <w:r w:rsidR="00966096">
        <w:rPr>
          <w:lang w:val="fr-CA"/>
        </w:rPr>
        <w:tab/>
      </w:r>
      <w:r w:rsidR="00966096">
        <w:rPr>
          <w:lang w:val="fr-CA"/>
        </w:rPr>
        <w:tab/>
      </w:r>
      <w:r w:rsidR="00966096">
        <w:rPr>
          <w:lang w:val="fr-CA"/>
        </w:rPr>
        <w:tab/>
      </w:r>
      <w:r w:rsidR="00966096">
        <w:rPr>
          <w:lang w:val="fr-CA"/>
        </w:rPr>
        <w:tab/>
      </w:r>
      <w:r w:rsidR="00966096">
        <w:rPr>
          <w:lang w:val="fr-CA"/>
        </w:rPr>
        <w:tab/>
        <w:t xml:space="preserve">                                         </w:t>
      </w:r>
      <w:r w:rsidRPr="00B46140">
        <w:rPr>
          <w:lang w:val="fr-CA"/>
        </w:rPr>
        <w:t xml:space="preserve"> de la résidence</w:t>
      </w:r>
    </w:p>
    <w:p w:rsidR="00B46140" w:rsidRPr="00B46140" w:rsidRDefault="00B46140" w:rsidP="00B46140">
      <w:pPr>
        <w:rPr>
          <w:lang w:val="fr-CA"/>
        </w:rPr>
      </w:pPr>
    </w:p>
    <w:p w:rsidR="00B46140" w:rsidRPr="00B46140" w:rsidRDefault="00B46140" w:rsidP="00B46140">
      <w:pPr>
        <w:rPr>
          <w:lang w:val="fr-CA"/>
        </w:rPr>
      </w:pPr>
    </w:p>
    <w:p w:rsidR="00B46140" w:rsidRPr="00B46140" w:rsidRDefault="00B46140" w:rsidP="00B46140">
      <w:pPr>
        <w:rPr>
          <w:lang w:val="fr-CA"/>
        </w:rPr>
      </w:pPr>
    </w:p>
    <w:p w:rsidR="00B46140" w:rsidRDefault="00B46140" w:rsidP="00B46140">
      <w:pPr>
        <w:rPr>
          <w:lang w:val="fr-CA"/>
        </w:rPr>
      </w:pPr>
    </w:p>
    <w:p w:rsidR="00B46140" w:rsidRDefault="00B46140" w:rsidP="00B46140">
      <w:pPr>
        <w:rPr>
          <w:lang w:val="fr-CA"/>
        </w:rPr>
      </w:pPr>
    </w:p>
    <w:p w:rsidR="00B46140" w:rsidRDefault="00B46140" w:rsidP="00B46140">
      <w:pPr>
        <w:rPr>
          <w:lang w:val="fr-CA"/>
        </w:rPr>
      </w:pPr>
    </w:p>
    <w:p w:rsidR="00B46140" w:rsidRDefault="00B46140" w:rsidP="00B46140">
      <w:pPr>
        <w:rPr>
          <w:lang w:val="fr-CA"/>
        </w:rPr>
      </w:pPr>
    </w:p>
    <w:p w:rsidR="00B46140" w:rsidRDefault="00B46140" w:rsidP="00B46140">
      <w:pPr>
        <w:rPr>
          <w:lang w:val="fr-CA"/>
        </w:rPr>
      </w:pPr>
    </w:p>
    <w:sectPr w:rsidR="00B46140" w:rsidSect="00B46140">
      <w:footerReference w:type="default" r:id="rId10"/>
      <w:headerReference w:type="first" r:id="rId11"/>
      <w:footerReference w:type="first" r:id="rId12"/>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505D5"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Pr="00966096">
      <w:rPr>
        <w:rFonts w:ascii="Open Sans" w:hAnsi="Open Sans" w:cs="Open Sans"/>
        <w:color w:val="7F7F7F"/>
        <w:sz w:val="14"/>
        <w:szCs w:val="14"/>
        <w:lang w:val="en-GB"/>
      </w:rPr>
      <w:t xml:space="preserve"> 3 – </w:t>
    </w:r>
    <w:r w:rsidRPr="00966096">
      <w:rPr>
        <w:rFonts w:ascii="Open Sans" w:hAnsi="Open Sans" w:cs="Open Sans"/>
        <w:color w:val="003A5B" w:themeColor="text2"/>
        <w:sz w:val="14"/>
        <w:szCs w:val="14"/>
        <w:lang w:val="en-GB"/>
      </w:rPr>
      <w:t>RÉFLEXION DIRIGÉE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16450"/>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D9799F"/>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6F16C"/>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834FF7FD-D065-4995-915D-E68EEE40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2021-11-17T20:21:00Z</dcterms:created>
  <dcterms:modified xsi:type="dcterms:W3CDTF">2021-11-18T16:41:00Z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