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A104E4" w:rsidRDefault="00A104E4" w:rsidP="00A922DA">
      <w:pPr>
        <w:pStyle w:val="Heading1"/>
        <w:rPr>
          <w:lang w:val="fr-CA"/>
        </w:rPr>
      </w:pPr>
      <w:r w:rsidRPr="00A104E4">
        <w:rPr>
          <w:lang w:val="fr-CA"/>
        </w:rPr>
        <w:t>Outils d’enseignement</w:t>
      </w:r>
      <w:r w:rsidR="00A625B8" w:rsidRPr="00A104E4">
        <w:rPr>
          <w:lang w:val="fr-CA"/>
        </w:rPr>
        <w:t xml:space="preserve"> 5 – </w:t>
      </w:r>
      <w:r w:rsidRPr="00A104E4">
        <w:rPr>
          <w:lang w:val="fr-CA"/>
        </w:rPr>
        <w:t>S</w:t>
      </w:r>
      <w:r>
        <w:rPr>
          <w:lang w:val="fr-CA"/>
        </w:rPr>
        <w:t>cripts pédagogiques</w:t>
      </w:r>
    </w:p>
    <w:p w:rsidR="002B03F8" w:rsidRPr="00A104E4" w:rsidRDefault="00A625B8" w:rsidP="00A922DA">
      <w:pPr>
        <w:pStyle w:val="Subtitle"/>
        <w:rPr>
          <w:lang w:val="fr-CA"/>
        </w:rPr>
      </w:pPr>
      <w:r w:rsidRPr="00A104E4">
        <w:rPr>
          <w:lang w:val="fr-CA"/>
        </w:rPr>
        <w:t xml:space="preserve">CanMEDS </w:t>
      </w:r>
      <w:r w:rsidR="00A104E4" w:rsidRPr="00A104E4">
        <w:rPr>
          <w:lang w:val="fr-CA"/>
        </w:rPr>
        <w:t>Érudit</w:t>
      </w:r>
    </w:p>
    <w:p w:rsidR="00A625B8" w:rsidRPr="00A104E4" w:rsidRDefault="00A104E4" w:rsidP="00A625B8">
      <w:pPr>
        <w:pStyle w:val="Heading2"/>
        <w:spacing w:before="0" w:line="240" w:lineRule="auto"/>
        <w:rPr>
          <w:lang w:val="fr-CA"/>
        </w:rPr>
      </w:pPr>
      <w:r w:rsidRPr="00A104E4">
        <w:rPr>
          <w:lang w:val="fr-CA"/>
        </w:rPr>
        <w:t>Exemple de script pédagogique et matrice pour la prise de décisions éclairée par les faits</w:t>
      </w:r>
    </w:p>
    <w:p w:rsidR="00A625B8" w:rsidRPr="00A104E4" w:rsidRDefault="00A104E4" w:rsidP="00A625B8">
      <w:pPr>
        <w:rPr>
          <w:rStyle w:val="SubtleReference"/>
          <w:iCs/>
          <w:sz w:val="22"/>
          <w:lang w:val="fr-CA"/>
        </w:rPr>
      </w:pPr>
      <w:r w:rsidRPr="00A104E4">
        <w:rPr>
          <w:iCs/>
          <w:smallCaps/>
          <w:color w:val="5A5A5A" w:themeColor="text1" w:themeTint="A5"/>
          <w:sz w:val="22"/>
          <w:lang w:val="fr-CA"/>
        </w:rPr>
        <w:t xml:space="preserve">Le contenu ci-dessous, rédigé par A. Oswald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A625B8" w:rsidRPr="00A104E4" w:rsidRDefault="00A104E4" w:rsidP="00A625B8">
      <w:pPr>
        <w:rPr>
          <w:rStyle w:val="SubtleReference"/>
          <w:b/>
          <w:iCs/>
          <w:sz w:val="22"/>
          <w:lang w:val="fr-CA"/>
        </w:rPr>
      </w:pPr>
      <w:r w:rsidRPr="00A104E4">
        <w:rPr>
          <w:b/>
          <w:bCs/>
          <w:iCs/>
          <w:smallCaps/>
          <w:color w:val="5A5A5A" w:themeColor="text1" w:themeTint="A5"/>
          <w:sz w:val="22"/>
          <w:lang w:val="fr-CA"/>
        </w:rPr>
        <w:t>REMARQUE : Le contenu ci-dessous peut avoir été modifié et ne plus représenter l’opinion ou le point de vue du Collège royal.</w:t>
      </w:r>
    </w:p>
    <w:p w:rsidR="00A625B8" w:rsidRPr="00150E2D" w:rsidRDefault="00150E2D" w:rsidP="00A625B8">
      <w:pPr>
        <w:pStyle w:val="ListParagraph"/>
        <w:numPr>
          <w:ilvl w:val="0"/>
          <w:numId w:val="15"/>
        </w:numPr>
        <w:rPr>
          <w:color w:val="auto"/>
          <w:sz w:val="22"/>
          <w:lang w:val="fr-CA"/>
        </w:rPr>
      </w:pPr>
      <w:r w:rsidRPr="00150E2D">
        <w:rPr>
          <w:bCs/>
          <w:lang w:val="fr-CA"/>
        </w:rPr>
        <w:t>Décrivez brièvement un scénario de votre choix : (deux à trois phrases)</w:t>
      </w:r>
    </w:p>
    <w:p w:rsidR="00A625B8" w:rsidRPr="00150E2D" w:rsidRDefault="00A625B8" w:rsidP="00A625B8">
      <w:pPr>
        <w:rPr>
          <w:lang w:val="fr-CA"/>
        </w:rPr>
      </w:pPr>
    </w:p>
    <w:p w:rsidR="00A625B8" w:rsidRPr="00150E2D" w:rsidRDefault="00150E2D" w:rsidP="00A625B8">
      <w:pPr>
        <w:pStyle w:val="ListParagraph"/>
        <w:numPr>
          <w:ilvl w:val="0"/>
          <w:numId w:val="15"/>
        </w:numPr>
        <w:rPr>
          <w:lang w:val="fr-CA"/>
        </w:rPr>
      </w:pPr>
      <w:r w:rsidRPr="00150E2D">
        <w:rPr>
          <w:bCs/>
          <w:lang w:val="fr-CA"/>
        </w:rPr>
        <w:t>Dans ce script, la prise de décisions éclairée par les faits porte sur :</w:t>
      </w:r>
    </w:p>
    <w:p w:rsidR="00A625B8" w:rsidRPr="00150E2D" w:rsidRDefault="00150E2D" w:rsidP="00A625B8">
      <w:pPr>
        <w:pStyle w:val="ListParagraph"/>
        <w:numPr>
          <w:ilvl w:val="0"/>
          <w:numId w:val="17"/>
        </w:numPr>
        <w:rPr>
          <w:lang w:val="fr-CA"/>
        </w:rPr>
      </w:pPr>
      <w:proofErr w:type="gramStart"/>
      <w:r w:rsidRPr="00150E2D">
        <w:rPr>
          <w:bCs/>
          <w:lang w:val="fr-CA"/>
        </w:rPr>
        <w:t>la</w:t>
      </w:r>
      <w:proofErr w:type="gramEnd"/>
      <w:r w:rsidRPr="00150E2D">
        <w:rPr>
          <w:bCs/>
          <w:lang w:val="fr-CA"/>
        </w:rPr>
        <w:t xml:space="preserve"> formulation d’une question scientifique</w:t>
      </w:r>
    </w:p>
    <w:p w:rsidR="00A625B8" w:rsidRPr="00150E2D" w:rsidRDefault="00150E2D" w:rsidP="00A625B8">
      <w:pPr>
        <w:pStyle w:val="ListParagraph"/>
        <w:numPr>
          <w:ilvl w:val="0"/>
          <w:numId w:val="17"/>
        </w:numPr>
        <w:rPr>
          <w:lang w:val="fr-CA"/>
        </w:rPr>
      </w:pPr>
      <w:proofErr w:type="gramStart"/>
      <w:r w:rsidRPr="00150E2D">
        <w:rPr>
          <w:bCs/>
          <w:lang w:val="fr-CA"/>
        </w:rPr>
        <w:t>la</w:t>
      </w:r>
      <w:proofErr w:type="gramEnd"/>
      <w:r w:rsidRPr="00150E2D">
        <w:rPr>
          <w:bCs/>
          <w:lang w:val="fr-CA"/>
        </w:rPr>
        <w:t xml:space="preserve"> définition d’une stratégie de recherche</w:t>
      </w:r>
    </w:p>
    <w:tbl>
      <w:tblPr>
        <w:tblW w:w="0" w:type="auto"/>
        <w:tblInd w:w="9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1620"/>
        <w:gridCol w:w="2949"/>
        <w:gridCol w:w="3115"/>
        <w:gridCol w:w="3116"/>
      </w:tblGrid>
      <w:tr w:rsidR="00A625B8" w:rsidRPr="00150E2D" w:rsidTr="00C925F0">
        <w:trPr>
          <w:trHeight w:val="60"/>
        </w:trPr>
        <w:tc>
          <w:tcPr>
            <w:tcW w:w="1620" w:type="dxa"/>
            <w:tcMar>
              <w:top w:w="90" w:type="dxa"/>
              <w:left w:w="90" w:type="dxa"/>
              <w:bottom w:w="90" w:type="dxa"/>
              <w:right w:w="90" w:type="dxa"/>
            </w:tcMar>
            <w:vAlign w:val="center"/>
          </w:tcPr>
          <w:p w:rsidR="00150E2D" w:rsidRPr="00150E2D" w:rsidRDefault="00150E2D" w:rsidP="00150E2D">
            <w:pPr>
              <w:pStyle w:val="ChartHead"/>
              <w:rPr>
                <w:lang w:val="fr-CA"/>
              </w:rPr>
            </w:pPr>
            <w:r w:rsidRPr="00150E2D">
              <w:rPr>
                <w:lang w:val="fr-CA"/>
              </w:rPr>
              <w:t>Tâche de prise de décisions</w:t>
            </w:r>
          </w:p>
          <w:p w:rsidR="00A625B8" w:rsidRPr="004E1380" w:rsidRDefault="00150E2D" w:rsidP="00150E2D">
            <w:pPr>
              <w:pStyle w:val="ChartHead"/>
            </w:pPr>
            <w:proofErr w:type="spellStart"/>
            <w:r w:rsidRPr="00150E2D">
              <w:rPr>
                <w:lang w:val="en-US"/>
              </w:rPr>
              <w:t>éclairée</w:t>
            </w:r>
            <w:proofErr w:type="spellEnd"/>
            <w:r w:rsidRPr="00150E2D">
              <w:rPr>
                <w:lang w:val="en-US"/>
              </w:rPr>
              <w:t xml:space="preserve"> par les </w:t>
            </w:r>
            <w:proofErr w:type="spellStart"/>
            <w:r w:rsidRPr="00150E2D">
              <w:rPr>
                <w:lang w:val="en-US"/>
              </w:rPr>
              <w:t>faits</w:t>
            </w:r>
            <w:proofErr w:type="spellEnd"/>
            <w:r>
              <w:t xml:space="preserve"> </w:t>
            </w:r>
          </w:p>
        </w:tc>
        <w:tc>
          <w:tcPr>
            <w:tcW w:w="2949" w:type="dxa"/>
            <w:tcMar>
              <w:top w:w="90" w:type="dxa"/>
              <w:left w:w="90" w:type="dxa"/>
              <w:bottom w:w="90" w:type="dxa"/>
              <w:right w:w="90" w:type="dxa"/>
            </w:tcMar>
            <w:vAlign w:val="center"/>
          </w:tcPr>
          <w:p w:rsidR="00A625B8" w:rsidRPr="004E1380" w:rsidRDefault="00150E2D" w:rsidP="00A625B8">
            <w:pPr>
              <w:pStyle w:val="ChartHead"/>
            </w:pPr>
            <w:r w:rsidRPr="00150E2D">
              <w:t xml:space="preserve">Texte </w:t>
            </w:r>
            <w:proofErr w:type="spellStart"/>
            <w:r w:rsidRPr="00150E2D">
              <w:t>proposé</w:t>
            </w:r>
            <w:proofErr w:type="spellEnd"/>
          </w:p>
        </w:tc>
        <w:tc>
          <w:tcPr>
            <w:tcW w:w="3115" w:type="dxa"/>
            <w:tcMar>
              <w:top w:w="90" w:type="dxa"/>
              <w:left w:w="90" w:type="dxa"/>
              <w:bottom w:w="90" w:type="dxa"/>
              <w:right w:w="90" w:type="dxa"/>
            </w:tcMar>
            <w:vAlign w:val="center"/>
          </w:tcPr>
          <w:p w:rsidR="00A625B8" w:rsidRPr="00150E2D" w:rsidRDefault="00150E2D" w:rsidP="00A625B8">
            <w:pPr>
              <w:pStyle w:val="ChartHead"/>
              <w:rPr>
                <w:lang w:val="fr-CA"/>
              </w:rPr>
            </w:pPr>
            <w:r w:rsidRPr="00150E2D">
              <w:rPr>
                <w:lang w:val="fr-CA"/>
              </w:rPr>
              <w:t>CONTENU de la prise de décisions éclairée par les faits à mettre en relief</w:t>
            </w:r>
          </w:p>
        </w:tc>
        <w:tc>
          <w:tcPr>
            <w:tcW w:w="3116" w:type="dxa"/>
            <w:tcMar>
              <w:top w:w="90" w:type="dxa"/>
              <w:left w:w="72" w:type="dxa"/>
              <w:bottom w:w="90" w:type="dxa"/>
              <w:right w:w="72" w:type="dxa"/>
            </w:tcMar>
            <w:vAlign w:val="center"/>
          </w:tcPr>
          <w:p w:rsidR="00A625B8" w:rsidRPr="00150E2D" w:rsidRDefault="00150E2D" w:rsidP="00A625B8">
            <w:pPr>
              <w:pStyle w:val="ChartHead"/>
              <w:rPr>
                <w:lang w:val="fr-CA"/>
              </w:rPr>
            </w:pPr>
            <w:r w:rsidRPr="00150E2D">
              <w:rPr>
                <w:lang w:val="fr-CA"/>
              </w:rPr>
              <w:t>DÉMARCHE de la prise de décisions éclairée par les faits à mettre en relief</w:t>
            </w:r>
          </w:p>
        </w:tc>
      </w:tr>
      <w:tr w:rsidR="00A625B8" w:rsidRPr="004E1380" w:rsidTr="00C925F0">
        <w:trPr>
          <w:trHeight w:val="60"/>
        </w:trPr>
        <w:tc>
          <w:tcPr>
            <w:tcW w:w="1620" w:type="dxa"/>
            <w:tcMar>
              <w:top w:w="90" w:type="dxa"/>
              <w:left w:w="90" w:type="dxa"/>
              <w:bottom w:w="90" w:type="dxa"/>
              <w:right w:w="90" w:type="dxa"/>
            </w:tcMar>
          </w:tcPr>
          <w:p w:rsidR="00A625B8" w:rsidRPr="004E1380" w:rsidRDefault="00150E2D" w:rsidP="00A625B8">
            <w:pPr>
              <w:pStyle w:val="ChartBodyLeft"/>
              <w:numPr>
                <w:ilvl w:val="0"/>
                <w:numId w:val="18"/>
              </w:numPr>
            </w:pPr>
            <w:proofErr w:type="spellStart"/>
            <w:r>
              <w:t>Formuler</w:t>
            </w:r>
            <w:proofErr w:type="spellEnd"/>
            <w:r>
              <w:t xml:space="preserve"> </w:t>
            </w:r>
            <w:proofErr w:type="spellStart"/>
            <w:r>
              <w:t>une</w:t>
            </w:r>
            <w:proofErr w:type="spellEnd"/>
            <w:r>
              <w:t xml:space="preserve"> question </w:t>
            </w:r>
            <w:proofErr w:type="spellStart"/>
            <w:r>
              <w:t>scientifique</w:t>
            </w:r>
            <w:proofErr w:type="spellEnd"/>
          </w:p>
          <w:p w:rsidR="00A625B8" w:rsidRPr="004E1380" w:rsidRDefault="00A625B8" w:rsidP="00A625B8">
            <w:pPr>
              <w:pStyle w:val="ChartBodyLeft"/>
            </w:pPr>
          </w:p>
          <w:p w:rsidR="00A625B8" w:rsidRPr="004E1380" w:rsidRDefault="00A625B8" w:rsidP="00A625B8">
            <w:pPr>
              <w:pStyle w:val="ChartBodyLeft"/>
            </w:pPr>
          </w:p>
          <w:p w:rsidR="00A625B8" w:rsidRPr="004E1380" w:rsidRDefault="00A625B8" w:rsidP="00A625B8">
            <w:pPr>
              <w:pStyle w:val="ChartBodyLeft"/>
            </w:pPr>
          </w:p>
        </w:tc>
        <w:tc>
          <w:tcPr>
            <w:tcW w:w="2949" w:type="dxa"/>
            <w:tcMar>
              <w:top w:w="90" w:type="dxa"/>
              <w:left w:w="90" w:type="dxa"/>
              <w:bottom w:w="90" w:type="dxa"/>
              <w:right w:w="90" w:type="dxa"/>
            </w:tcMar>
          </w:tcPr>
          <w:p w:rsidR="00A625B8" w:rsidRPr="004E1380" w:rsidRDefault="00A625B8" w:rsidP="00A625B8">
            <w:pPr>
              <w:pStyle w:val="ChartBodyLeft"/>
            </w:pPr>
          </w:p>
        </w:tc>
        <w:tc>
          <w:tcPr>
            <w:tcW w:w="3115" w:type="dxa"/>
            <w:tcMar>
              <w:top w:w="90" w:type="dxa"/>
              <w:left w:w="90" w:type="dxa"/>
              <w:bottom w:w="90" w:type="dxa"/>
              <w:right w:w="90" w:type="dxa"/>
            </w:tcMar>
          </w:tcPr>
          <w:p w:rsidR="00A625B8" w:rsidRPr="004E1380" w:rsidRDefault="00A625B8" w:rsidP="00A625B8">
            <w:pPr>
              <w:pStyle w:val="ChartBodyLeft"/>
            </w:pPr>
          </w:p>
        </w:tc>
        <w:tc>
          <w:tcPr>
            <w:tcW w:w="3116" w:type="dxa"/>
            <w:tcMar>
              <w:top w:w="90" w:type="dxa"/>
              <w:left w:w="90" w:type="dxa"/>
              <w:bottom w:w="90" w:type="dxa"/>
              <w:right w:w="90" w:type="dxa"/>
            </w:tcMar>
          </w:tcPr>
          <w:p w:rsidR="00A625B8" w:rsidRPr="004E1380" w:rsidRDefault="00A625B8" w:rsidP="00A625B8">
            <w:pPr>
              <w:pStyle w:val="ChartBodyLeft"/>
            </w:pPr>
          </w:p>
        </w:tc>
      </w:tr>
      <w:tr w:rsidR="00A625B8" w:rsidRPr="00150E2D" w:rsidTr="00C925F0">
        <w:trPr>
          <w:trHeight w:val="60"/>
        </w:trPr>
        <w:tc>
          <w:tcPr>
            <w:tcW w:w="1620" w:type="dxa"/>
            <w:tcMar>
              <w:top w:w="90" w:type="dxa"/>
              <w:left w:w="90" w:type="dxa"/>
              <w:bottom w:w="90" w:type="dxa"/>
              <w:right w:w="90" w:type="dxa"/>
            </w:tcMar>
          </w:tcPr>
          <w:p w:rsidR="00A625B8" w:rsidRPr="00150E2D" w:rsidRDefault="00150E2D" w:rsidP="00A625B8">
            <w:pPr>
              <w:pStyle w:val="ChartBodyLeft"/>
              <w:numPr>
                <w:ilvl w:val="0"/>
                <w:numId w:val="18"/>
              </w:numPr>
              <w:rPr>
                <w:lang w:val="fr-CA"/>
              </w:rPr>
            </w:pPr>
            <w:r w:rsidRPr="00150E2D">
              <w:rPr>
                <w:lang w:val="fr-CA"/>
              </w:rPr>
              <w:t>Définir une stratégie de r</w:t>
            </w:r>
            <w:r>
              <w:rPr>
                <w:lang w:val="fr-CA"/>
              </w:rPr>
              <w:t>echerche</w:t>
            </w:r>
          </w:p>
          <w:p w:rsidR="00A625B8" w:rsidRPr="00150E2D" w:rsidRDefault="00A625B8" w:rsidP="00A625B8">
            <w:pPr>
              <w:pStyle w:val="ChartBodyLeft"/>
              <w:rPr>
                <w:lang w:val="fr-CA"/>
              </w:rPr>
            </w:pPr>
          </w:p>
          <w:p w:rsidR="00A625B8" w:rsidRPr="00150E2D" w:rsidRDefault="00A625B8" w:rsidP="00A625B8">
            <w:pPr>
              <w:pStyle w:val="ChartBodyLeft"/>
              <w:rPr>
                <w:lang w:val="fr-CA"/>
              </w:rPr>
            </w:pPr>
          </w:p>
          <w:p w:rsidR="00A625B8" w:rsidRPr="00150E2D" w:rsidRDefault="00A625B8" w:rsidP="00A625B8">
            <w:pPr>
              <w:pStyle w:val="ChartBodyLeft"/>
              <w:rPr>
                <w:lang w:val="fr-CA"/>
              </w:rPr>
            </w:pPr>
          </w:p>
          <w:p w:rsidR="00A625B8" w:rsidRPr="00150E2D" w:rsidRDefault="00A625B8" w:rsidP="00A625B8">
            <w:pPr>
              <w:pStyle w:val="ChartBodyLeft"/>
              <w:rPr>
                <w:lang w:val="fr-CA"/>
              </w:rPr>
            </w:pPr>
          </w:p>
        </w:tc>
        <w:tc>
          <w:tcPr>
            <w:tcW w:w="2949" w:type="dxa"/>
            <w:tcMar>
              <w:top w:w="90" w:type="dxa"/>
              <w:left w:w="90" w:type="dxa"/>
              <w:bottom w:w="90" w:type="dxa"/>
              <w:right w:w="90" w:type="dxa"/>
            </w:tcMar>
          </w:tcPr>
          <w:p w:rsidR="00A625B8" w:rsidRPr="00150E2D" w:rsidRDefault="00A625B8" w:rsidP="00A625B8">
            <w:pPr>
              <w:pStyle w:val="ChartBodyLeft"/>
              <w:rPr>
                <w:lang w:val="fr-CA"/>
              </w:rPr>
            </w:pPr>
          </w:p>
        </w:tc>
        <w:tc>
          <w:tcPr>
            <w:tcW w:w="3115" w:type="dxa"/>
            <w:tcMar>
              <w:top w:w="90" w:type="dxa"/>
              <w:left w:w="90" w:type="dxa"/>
              <w:bottom w:w="90" w:type="dxa"/>
              <w:right w:w="90" w:type="dxa"/>
            </w:tcMar>
          </w:tcPr>
          <w:p w:rsidR="00A625B8" w:rsidRPr="00150E2D" w:rsidRDefault="00A625B8" w:rsidP="00A625B8">
            <w:pPr>
              <w:pStyle w:val="ChartBodyLeft"/>
              <w:rPr>
                <w:lang w:val="fr-CA"/>
              </w:rPr>
            </w:pPr>
          </w:p>
        </w:tc>
        <w:tc>
          <w:tcPr>
            <w:tcW w:w="3116" w:type="dxa"/>
            <w:tcMar>
              <w:top w:w="90" w:type="dxa"/>
              <w:left w:w="90" w:type="dxa"/>
              <w:bottom w:w="90" w:type="dxa"/>
              <w:right w:w="90" w:type="dxa"/>
            </w:tcMar>
          </w:tcPr>
          <w:p w:rsidR="00A625B8" w:rsidRPr="00150E2D" w:rsidRDefault="00A625B8" w:rsidP="00A625B8">
            <w:pPr>
              <w:pStyle w:val="ChartBodyLeft"/>
              <w:rPr>
                <w:lang w:val="fr-CA"/>
              </w:rPr>
            </w:pPr>
          </w:p>
        </w:tc>
      </w:tr>
    </w:tbl>
    <w:p w:rsidR="00A625B8" w:rsidRPr="00150E2D" w:rsidRDefault="00A625B8" w:rsidP="00A625B8">
      <w:pPr>
        <w:rPr>
          <w:lang w:val="fr-CA"/>
        </w:rPr>
      </w:pPr>
    </w:p>
    <w:p w:rsidR="00A625B8" w:rsidRPr="00150E2D" w:rsidRDefault="00150E2D" w:rsidP="00A625B8">
      <w:pPr>
        <w:pStyle w:val="ListParagraph"/>
        <w:numPr>
          <w:ilvl w:val="0"/>
          <w:numId w:val="18"/>
        </w:numPr>
        <w:rPr>
          <w:lang w:val="fr-CA"/>
        </w:rPr>
      </w:pPr>
      <w:r w:rsidRPr="00150E2D">
        <w:rPr>
          <w:bCs/>
          <w:lang w:val="fr-CA"/>
        </w:rPr>
        <w:t>Décrivez brièvement un scénario : (deux à trois phrases)</w:t>
      </w:r>
    </w:p>
    <w:p w:rsidR="00A625B8" w:rsidRPr="00150E2D" w:rsidRDefault="00A625B8" w:rsidP="00A625B8">
      <w:pPr>
        <w:rPr>
          <w:lang w:val="fr-CA"/>
        </w:rPr>
      </w:pPr>
    </w:p>
    <w:p w:rsidR="00A625B8" w:rsidRPr="00150E2D" w:rsidRDefault="00A625B8" w:rsidP="00A625B8">
      <w:pPr>
        <w:rPr>
          <w:lang w:val="fr-CA"/>
        </w:rPr>
      </w:pPr>
    </w:p>
    <w:p w:rsidR="00A625B8" w:rsidRPr="00150E2D" w:rsidRDefault="00150E2D" w:rsidP="00A625B8">
      <w:pPr>
        <w:rPr>
          <w:b/>
          <w:bCs/>
          <w:i/>
          <w:iCs/>
        </w:rPr>
      </w:pPr>
      <w:proofErr w:type="spellStart"/>
      <w:r w:rsidRPr="00150E2D">
        <w:rPr>
          <w:b/>
          <w:bCs/>
          <w:iCs/>
        </w:rPr>
        <w:t>Scénarios</w:t>
      </w:r>
      <w:proofErr w:type="spellEnd"/>
      <w:r w:rsidRPr="00150E2D">
        <w:rPr>
          <w:b/>
          <w:bCs/>
          <w:iCs/>
        </w:rPr>
        <w:t xml:space="preserve"> </w:t>
      </w:r>
      <w:proofErr w:type="spellStart"/>
      <w:proofErr w:type="gramStart"/>
      <w:r w:rsidRPr="00150E2D">
        <w:rPr>
          <w:b/>
          <w:bCs/>
          <w:iCs/>
        </w:rPr>
        <w:t>proposés</w:t>
      </w:r>
      <w:proofErr w:type="spellEnd"/>
      <w:r w:rsidRPr="00150E2D">
        <w:rPr>
          <w:b/>
          <w:bCs/>
          <w:iCs/>
        </w:rPr>
        <w:t xml:space="preserve"> :</w:t>
      </w:r>
      <w:proofErr w:type="gramEnd"/>
    </w:p>
    <w:p w:rsidR="00150E2D" w:rsidRPr="00150E2D" w:rsidRDefault="00150E2D" w:rsidP="00150E2D">
      <w:pPr>
        <w:pStyle w:val="ListParagraph"/>
        <w:rPr>
          <w:bCs/>
          <w:lang w:val="fr-CA"/>
        </w:rPr>
      </w:pPr>
      <w:r w:rsidRPr="00150E2D">
        <w:rPr>
          <w:bCs/>
          <w:lang w:val="fr-CA"/>
        </w:rPr>
        <w:t>Vous venez de voir un homme de 58 ans souffrant de douleurs diffuses.</w:t>
      </w:r>
    </w:p>
    <w:p w:rsidR="00150E2D" w:rsidRPr="00150E2D" w:rsidRDefault="00150E2D" w:rsidP="00150E2D">
      <w:pPr>
        <w:pStyle w:val="ListParagraph"/>
        <w:rPr>
          <w:bCs/>
          <w:lang w:val="fr-CA"/>
        </w:rPr>
      </w:pPr>
      <w:r w:rsidRPr="00150E2D">
        <w:rPr>
          <w:bCs/>
          <w:lang w:val="fr-CA"/>
        </w:rPr>
        <w:t>Vous remarquez que sa myalgie se situe principalement à la hanche et à la ceinture thoracique, et il dit éprouver de la rigidité au réveil.</w:t>
      </w:r>
    </w:p>
    <w:p w:rsidR="00150E2D" w:rsidRPr="00150E2D" w:rsidRDefault="00150E2D" w:rsidP="00150E2D">
      <w:pPr>
        <w:pStyle w:val="ListParagraph"/>
        <w:rPr>
          <w:bCs/>
          <w:lang w:val="fr-CA"/>
        </w:rPr>
      </w:pPr>
      <w:r w:rsidRPr="00150E2D">
        <w:rPr>
          <w:bCs/>
          <w:lang w:val="fr-CA"/>
        </w:rPr>
        <w:t>Vous êtes d’avis que le diagnostic le plus probable est une pseudopolyarthrite rhizomélique.</w:t>
      </w:r>
    </w:p>
    <w:p w:rsidR="00A625B8" w:rsidRPr="00150E2D" w:rsidRDefault="00150E2D" w:rsidP="00150E2D">
      <w:pPr>
        <w:pStyle w:val="ListParagraph"/>
        <w:rPr>
          <w:bCs/>
          <w:lang w:val="fr-CA"/>
        </w:rPr>
      </w:pPr>
      <w:r w:rsidRPr="00150E2D">
        <w:rPr>
          <w:bCs/>
          <w:lang w:val="fr-CA"/>
        </w:rPr>
        <w:t>Toutefois, en discutant avec le patient, celui-ci explique que ses symptômes ont commencé trois semaines plus tôt, à son retour d’un voyage dans les Caraïbes et le sud de la Floride, où la fièvre Chikungunya sévit. Il vous demande s’il ne devrait pas être testé.</w:t>
      </w:r>
    </w:p>
    <w:p w:rsidR="00A625B8" w:rsidRPr="00150E2D" w:rsidRDefault="00A625B8" w:rsidP="00A625B8">
      <w:pPr>
        <w:rPr>
          <w:lang w:val="fr-CA"/>
        </w:rPr>
      </w:pPr>
    </w:p>
    <w:p w:rsidR="00A625B8" w:rsidRPr="00150E2D" w:rsidRDefault="00150E2D" w:rsidP="00A625B8">
      <w:pPr>
        <w:pStyle w:val="ListParagraph"/>
        <w:numPr>
          <w:ilvl w:val="0"/>
          <w:numId w:val="18"/>
        </w:numPr>
        <w:rPr>
          <w:lang w:val="fr-CA"/>
        </w:rPr>
      </w:pPr>
      <w:r w:rsidRPr="00150E2D">
        <w:rPr>
          <w:bCs/>
          <w:lang w:val="fr-CA"/>
        </w:rPr>
        <w:t>Ce script porte principalement sur (cet exemple) :</w:t>
      </w:r>
    </w:p>
    <w:p w:rsidR="00A625B8" w:rsidRPr="00150E2D" w:rsidRDefault="00A625B8" w:rsidP="00150E2D">
      <w:pPr>
        <w:ind w:firstLine="720"/>
        <w:rPr>
          <w:lang w:val="fr-CA"/>
        </w:rPr>
      </w:pPr>
      <w:r>
        <w:sym w:font="Wingdings" w:char="F0A8"/>
      </w:r>
      <w:r w:rsidRPr="00150E2D">
        <w:rPr>
          <w:lang w:val="fr-CA"/>
        </w:rPr>
        <w:t xml:space="preserve">  </w:t>
      </w:r>
      <w:proofErr w:type="gramStart"/>
      <w:r w:rsidR="00150E2D" w:rsidRPr="00150E2D">
        <w:rPr>
          <w:bCs/>
          <w:lang w:val="fr-CA"/>
        </w:rPr>
        <w:t>la</w:t>
      </w:r>
      <w:proofErr w:type="gramEnd"/>
      <w:r w:rsidR="00150E2D" w:rsidRPr="00150E2D">
        <w:rPr>
          <w:bCs/>
          <w:lang w:val="fr-CA"/>
        </w:rPr>
        <w:t xml:space="preserve"> prise de décisions éclairée par les faits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7"/>
        <w:gridCol w:w="2697"/>
        <w:gridCol w:w="2698"/>
        <w:gridCol w:w="2698"/>
      </w:tblGrid>
      <w:tr w:rsidR="00A625B8" w:rsidRPr="00656605" w:rsidTr="00C925F0">
        <w:tc>
          <w:tcPr>
            <w:tcW w:w="2697" w:type="dxa"/>
          </w:tcPr>
          <w:p w:rsidR="00A625B8" w:rsidRPr="00656605" w:rsidRDefault="00656605" w:rsidP="00656605">
            <w:pPr>
              <w:pStyle w:val="ChartHead"/>
              <w:rPr>
                <w:rStyle w:val="SubtleReference"/>
                <w:smallCaps w:val="0"/>
                <w:color w:val="000000"/>
                <w:lang w:val="fr-CA"/>
              </w:rPr>
            </w:pPr>
            <w:r w:rsidRPr="00656605">
              <w:rPr>
                <w:lang w:val="fr-CA"/>
              </w:rPr>
              <w:t>Tâche de</w:t>
            </w:r>
            <w:r>
              <w:rPr>
                <w:lang w:val="fr-CA"/>
              </w:rPr>
              <w:t xml:space="preserve"> </w:t>
            </w:r>
            <w:r w:rsidRPr="00656605">
              <w:rPr>
                <w:lang w:val="fr-CA"/>
              </w:rPr>
              <w:t>prise de</w:t>
            </w:r>
            <w:r>
              <w:rPr>
                <w:lang w:val="fr-CA"/>
              </w:rPr>
              <w:t xml:space="preserve"> </w:t>
            </w:r>
            <w:r w:rsidRPr="00656605">
              <w:rPr>
                <w:lang w:val="fr-CA"/>
              </w:rPr>
              <w:t>décisions</w:t>
            </w:r>
            <w:r>
              <w:rPr>
                <w:lang w:val="fr-CA"/>
              </w:rPr>
              <w:t xml:space="preserve"> </w:t>
            </w:r>
            <w:r w:rsidRPr="00656605">
              <w:rPr>
                <w:lang w:val="fr-CA"/>
              </w:rPr>
              <w:t>éclairée par les faits</w:t>
            </w:r>
          </w:p>
        </w:tc>
        <w:tc>
          <w:tcPr>
            <w:tcW w:w="2697" w:type="dxa"/>
          </w:tcPr>
          <w:p w:rsidR="00A625B8" w:rsidRPr="00656605" w:rsidRDefault="00656605" w:rsidP="00A625B8">
            <w:pPr>
              <w:pStyle w:val="ChartHead"/>
              <w:rPr>
                <w:rStyle w:val="SubtleReference"/>
                <w:smallCaps w:val="0"/>
                <w:color w:val="000000"/>
                <w:lang w:val="fr-CA"/>
              </w:rPr>
            </w:pPr>
            <w:r w:rsidRPr="00656605">
              <w:rPr>
                <w:lang w:val="fr-CA"/>
              </w:rPr>
              <w:t>Détails du script</w:t>
            </w:r>
          </w:p>
        </w:tc>
        <w:tc>
          <w:tcPr>
            <w:tcW w:w="2698" w:type="dxa"/>
          </w:tcPr>
          <w:p w:rsidR="00656605" w:rsidRPr="00656605" w:rsidRDefault="00656605" w:rsidP="00656605">
            <w:pPr>
              <w:pStyle w:val="ChartHead"/>
              <w:rPr>
                <w:lang w:val="fr-CA"/>
              </w:rPr>
            </w:pPr>
            <w:r w:rsidRPr="00656605">
              <w:rPr>
                <w:lang w:val="fr-CA"/>
              </w:rPr>
              <w:t>CONTENU de la prise de décisions éclairée par les</w:t>
            </w:r>
          </w:p>
          <w:p w:rsidR="00A625B8" w:rsidRPr="00656605" w:rsidRDefault="00656605" w:rsidP="00656605">
            <w:pPr>
              <w:pStyle w:val="ChartHead"/>
              <w:rPr>
                <w:rStyle w:val="SubtleReference"/>
                <w:smallCaps w:val="0"/>
                <w:color w:val="000000"/>
                <w:lang w:val="fr-CA"/>
              </w:rPr>
            </w:pPr>
            <w:proofErr w:type="gramStart"/>
            <w:r w:rsidRPr="00656605">
              <w:rPr>
                <w:lang w:val="fr-CA"/>
              </w:rPr>
              <w:t>faits</w:t>
            </w:r>
            <w:proofErr w:type="gramEnd"/>
            <w:r w:rsidRPr="00656605">
              <w:rPr>
                <w:lang w:val="fr-CA"/>
              </w:rPr>
              <w:t xml:space="preserve"> à mettre en relief</w:t>
            </w:r>
          </w:p>
        </w:tc>
        <w:tc>
          <w:tcPr>
            <w:tcW w:w="2698" w:type="dxa"/>
          </w:tcPr>
          <w:p w:rsidR="00A625B8" w:rsidRPr="00656605" w:rsidRDefault="00656605" w:rsidP="00A625B8">
            <w:pPr>
              <w:pStyle w:val="ChartHead"/>
              <w:rPr>
                <w:rStyle w:val="SubtleReference"/>
                <w:smallCaps w:val="0"/>
                <w:color w:val="000000"/>
                <w:lang w:val="fr-CA"/>
              </w:rPr>
            </w:pPr>
            <w:r w:rsidRPr="00656605">
              <w:rPr>
                <w:lang w:val="fr-CA"/>
              </w:rPr>
              <w:t>DÉMARCHE de la prise de décisions éclairée par les faits à mettre en relief</w:t>
            </w:r>
          </w:p>
        </w:tc>
      </w:tr>
      <w:tr w:rsidR="00A625B8" w:rsidRPr="00656605" w:rsidTr="00C925F0">
        <w:tc>
          <w:tcPr>
            <w:tcW w:w="2697" w:type="dxa"/>
          </w:tcPr>
          <w:p w:rsidR="00A625B8" w:rsidRPr="00656605" w:rsidRDefault="00656605" w:rsidP="00656605">
            <w:pPr>
              <w:pStyle w:val="ChartBodyLeft"/>
              <w:numPr>
                <w:ilvl w:val="0"/>
                <w:numId w:val="24"/>
              </w:numPr>
              <w:rPr>
                <w:rStyle w:val="SubtleReference"/>
                <w:smallCaps w:val="0"/>
                <w:color w:val="000000"/>
                <w:lang w:val="en-US"/>
              </w:rPr>
            </w:pPr>
            <w:proofErr w:type="spellStart"/>
            <w:r w:rsidRPr="00656605">
              <w:rPr>
                <w:lang w:val="en-US"/>
              </w:rPr>
              <w:t>Formuler</w:t>
            </w:r>
            <w:proofErr w:type="spellEnd"/>
            <w:r w:rsidRPr="00656605">
              <w:rPr>
                <w:lang w:val="en-US"/>
              </w:rPr>
              <w:t xml:space="preserve"> </w:t>
            </w:r>
            <w:proofErr w:type="spellStart"/>
            <w:r w:rsidRPr="00656605">
              <w:rPr>
                <w:lang w:val="en-US"/>
              </w:rPr>
              <w:t>une</w:t>
            </w:r>
            <w:proofErr w:type="spellEnd"/>
            <w:r w:rsidRPr="00656605">
              <w:rPr>
                <w:lang w:val="en-US"/>
              </w:rPr>
              <w:t xml:space="preserve"> question</w:t>
            </w:r>
            <w:r>
              <w:rPr>
                <w:lang w:val="en-US"/>
              </w:rPr>
              <w:t xml:space="preserve"> </w:t>
            </w:r>
            <w:proofErr w:type="spellStart"/>
            <w:r w:rsidRPr="00656605">
              <w:rPr>
                <w:lang w:val="en-US"/>
              </w:rPr>
              <w:t>scientifique</w:t>
            </w:r>
            <w:proofErr w:type="spellEnd"/>
          </w:p>
        </w:tc>
        <w:tc>
          <w:tcPr>
            <w:tcW w:w="2697" w:type="dxa"/>
          </w:tcPr>
          <w:p w:rsidR="00656605" w:rsidRPr="00656605" w:rsidRDefault="00656605" w:rsidP="00656605">
            <w:pPr>
              <w:pStyle w:val="ChartBodyLeft"/>
              <w:numPr>
                <w:ilvl w:val="0"/>
                <w:numId w:val="25"/>
              </w:numPr>
              <w:rPr>
                <w:lang w:val="fr-CA"/>
              </w:rPr>
            </w:pPr>
            <w:r w:rsidRPr="00656605">
              <w:rPr>
                <w:lang w:val="fr-CA"/>
              </w:rPr>
              <w:t>Commencez par indiquer au patient que vous devez lire davantage sur le sujet afin de déterminer s’il convient d’ordonner le test.</w:t>
            </w:r>
          </w:p>
          <w:p w:rsidR="00656605" w:rsidRPr="00656605" w:rsidRDefault="00656605" w:rsidP="00656605">
            <w:pPr>
              <w:pStyle w:val="ChartBodyLeft"/>
              <w:numPr>
                <w:ilvl w:val="0"/>
                <w:numId w:val="25"/>
              </w:numPr>
              <w:rPr>
                <w:lang w:val="fr-CA"/>
              </w:rPr>
            </w:pPr>
            <w:r w:rsidRPr="00656605">
              <w:rPr>
                <w:lang w:val="fr-CA"/>
              </w:rPr>
              <w:t>Réfléchissez à votre manque de connaissances dans ce domaine particulier.</w:t>
            </w:r>
          </w:p>
          <w:p w:rsidR="00656605" w:rsidRPr="00656605" w:rsidRDefault="00656605" w:rsidP="00656605">
            <w:pPr>
              <w:pStyle w:val="ChartBodyLeft"/>
              <w:numPr>
                <w:ilvl w:val="0"/>
                <w:numId w:val="25"/>
              </w:numPr>
              <w:rPr>
                <w:lang w:val="fr-CA"/>
              </w:rPr>
            </w:pPr>
            <w:r w:rsidRPr="00656605">
              <w:rPr>
                <w:lang w:val="fr-CA"/>
              </w:rPr>
              <w:t>Utilisez le modèle « PICO » (voir à droite) pour formuler une question scientifique interrogeable.</w:t>
            </w:r>
          </w:p>
          <w:p w:rsidR="00656605" w:rsidRPr="00656605" w:rsidRDefault="00656605" w:rsidP="00656605">
            <w:pPr>
              <w:pStyle w:val="ChartBodyLeft"/>
              <w:numPr>
                <w:ilvl w:val="0"/>
                <w:numId w:val="25"/>
              </w:numPr>
              <w:rPr>
                <w:lang w:val="fr-CA"/>
              </w:rPr>
            </w:pPr>
            <w:r w:rsidRPr="00656605">
              <w:rPr>
                <w:lang w:val="fr-CA"/>
              </w:rPr>
              <w:t>Vous connaissez la fièvre en question, mais vous n’êtes pas certain de la façon de la dépister.</w:t>
            </w:r>
          </w:p>
          <w:p w:rsidR="00656605" w:rsidRDefault="00656605" w:rsidP="00656605">
            <w:pPr>
              <w:pStyle w:val="ChartBodyLeft"/>
              <w:numPr>
                <w:ilvl w:val="0"/>
                <w:numId w:val="25"/>
              </w:numPr>
              <w:rPr>
                <w:lang w:val="fr-CA"/>
              </w:rPr>
            </w:pPr>
            <w:r w:rsidRPr="00656605">
              <w:rPr>
                <w:lang w:val="fr-CA"/>
              </w:rPr>
              <w:t>La question pourrait être formulée comme suit :</w:t>
            </w:r>
          </w:p>
          <w:p w:rsidR="00656605" w:rsidRPr="00656605" w:rsidRDefault="00656605" w:rsidP="00656605">
            <w:pPr>
              <w:pStyle w:val="ChartBodyLeft"/>
              <w:numPr>
                <w:ilvl w:val="0"/>
                <w:numId w:val="25"/>
              </w:numPr>
              <w:rPr>
                <w:lang w:val="fr-CA"/>
              </w:rPr>
            </w:pPr>
            <w:r w:rsidRPr="00656605">
              <w:rPr>
                <w:lang w:val="fr-CA"/>
              </w:rPr>
              <w:lastRenderedPageBreak/>
              <w:t xml:space="preserve"> Chez les gens ayant voyagé dans le sud de la Floride et dans les Caraïbes, dans quelle mesure l’historique médical avec ou sans sérologie est-il précis pour dépister la fièvre Chikungunya?</w:t>
            </w:r>
          </w:p>
          <w:p w:rsidR="00A625B8" w:rsidRPr="00656605" w:rsidRDefault="00656605" w:rsidP="00656605">
            <w:pPr>
              <w:pStyle w:val="ChartBodyLeft"/>
              <w:numPr>
                <w:ilvl w:val="0"/>
                <w:numId w:val="25"/>
              </w:numPr>
              <w:rPr>
                <w:lang w:val="fr-CA"/>
              </w:rPr>
            </w:pPr>
            <w:r w:rsidRPr="00656605">
              <w:rPr>
                <w:lang w:val="fr-CA"/>
              </w:rPr>
              <w:t>Utilisez le même cadre pour les autres questionnements cliniques de la matinée</w:t>
            </w:r>
            <w:r w:rsidR="00A625B8" w:rsidRPr="00656605">
              <w:rPr>
                <w:lang w:val="fr-CA"/>
              </w:rPr>
              <w:t>.</w:t>
            </w:r>
            <w:r w:rsidRPr="00656605">
              <w:rPr>
                <w:lang w:val="fr-CA"/>
              </w:rPr>
              <w:t xml:space="preserve"> </w:t>
            </w:r>
          </w:p>
        </w:tc>
        <w:tc>
          <w:tcPr>
            <w:tcW w:w="2698" w:type="dxa"/>
          </w:tcPr>
          <w:p w:rsidR="00A625B8" w:rsidRPr="00656605" w:rsidRDefault="00656605" w:rsidP="00A625B8">
            <w:pPr>
              <w:rPr>
                <w:color w:val="auto"/>
                <w:sz w:val="20"/>
                <w:szCs w:val="20"/>
                <w:lang w:val="fr-CA"/>
              </w:rPr>
            </w:pPr>
            <w:r w:rsidRPr="00656605">
              <w:rPr>
                <w:color w:val="auto"/>
                <w:sz w:val="20"/>
                <w:szCs w:val="20"/>
                <w:lang w:val="fr-CA"/>
              </w:rPr>
              <w:lastRenderedPageBreak/>
              <w:t>La formule « PICO » :</w:t>
            </w:r>
          </w:p>
          <w:p w:rsidR="00656605" w:rsidRPr="00656605" w:rsidRDefault="00656605" w:rsidP="00656605">
            <w:pPr>
              <w:pStyle w:val="ChartBodyLeft"/>
              <w:numPr>
                <w:ilvl w:val="0"/>
                <w:numId w:val="26"/>
              </w:numPr>
              <w:rPr>
                <w:lang w:val="en-US"/>
              </w:rPr>
            </w:pPr>
            <w:r w:rsidRPr="00656605">
              <w:rPr>
                <w:lang w:val="en-US"/>
              </w:rPr>
              <w:t>Population</w:t>
            </w:r>
          </w:p>
          <w:p w:rsidR="00656605" w:rsidRPr="00656605" w:rsidRDefault="00656605" w:rsidP="00656605">
            <w:pPr>
              <w:pStyle w:val="ChartBodyLeft"/>
              <w:numPr>
                <w:ilvl w:val="0"/>
                <w:numId w:val="26"/>
              </w:numPr>
              <w:rPr>
                <w:lang w:val="en-US"/>
              </w:rPr>
            </w:pPr>
            <w:r w:rsidRPr="00656605">
              <w:rPr>
                <w:lang w:val="en-US"/>
              </w:rPr>
              <w:t>Intervention</w:t>
            </w:r>
          </w:p>
          <w:p w:rsidR="00656605" w:rsidRPr="00656605" w:rsidRDefault="00656605" w:rsidP="00656605">
            <w:pPr>
              <w:pStyle w:val="ChartBodyLeft"/>
              <w:numPr>
                <w:ilvl w:val="0"/>
                <w:numId w:val="26"/>
              </w:numPr>
              <w:rPr>
                <w:lang w:val="en-US"/>
              </w:rPr>
            </w:pPr>
            <w:proofErr w:type="spellStart"/>
            <w:r w:rsidRPr="00656605">
              <w:rPr>
                <w:lang w:val="en-US"/>
              </w:rPr>
              <w:t>Comparaison</w:t>
            </w:r>
            <w:proofErr w:type="spellEnd"/>
          </w:p>
          <w:p w:rsidR="00656605" w:rsidRPr="00656605" w:rsidRDefault="00656605" w:rsidP="00656605">
            <w:pPr>
              <w:pStyle w:val="ChartBodyLeft"/>
              <w:numPr>
                <w:ilvl w:val="0"/>
                <w:numId w:val="26"/>
              </w:numPr>
              <w:rPr>
                <w:lang w:val="fr-CA"/>
              </w:rPr>
            </w:pPr>
            <w:r w:rsidRPr="00656605">
              <w:rPr>
                <w:lang w:val="fr-CA"/>
              </w:rPr>
              <w:t>Résultat (</w:t>
            </w:r>
            <w:proofErr w:type="spellStart"/>
            <w:r w:rsidRPr="00656605">
              <w:rPr>
                <w:lang w:val="fr-CA"/>
              </w:rPr>
              <w:t>Outcome</w:t>
            </w:r>
            <w:proofErr w:type="spellEnd"/>
            <w:r w:rsidRPr="00656605">
              <w:rPr>
                <w:lang w:val="fr-CA"/>
              </w:rPr>
              <w:t xml:space="preserve"> en anglais, d’où le </w:t>
            </w:r>
            <w:r w:rsidRPr="00656605">
              <w:rPr>
                <w:lang w:val="fr-CA"/>
              </w:rPr>
              <w:br/>
              <w:t>« o »)</w:t>
            </w:r>
          </w:p>
          <w:p w:rsidR="00A625B8" w:rsidRPr="00656605" w:rsidRDefault="00A625B8" w:rsidP="00656605">
            <w:pPr>
              <w:pStyle w:val="ChartBodyLeft"/>
              <w:ind w:left="144"/>
              <w:rPr>
                <w:lang w:val="fr-CA"/>
              </w:rPr>
            </w:pPr>
          </w:p>
          <w:p w:rsidR="00656605" w:rsidRPr="00656605" w:rsidRDefault="00656605" w:rsidP="00656605">
            <w:pPr>
              <w:pStyle w:val="ChartBodyLeft"/>
              <w:ind w:left="144"/>
              <w:rPr>
                <w:rStyle w:val="SubtleReference"/>
                <w:smallCaps w:val="0"/>
                <w:color w:val="000000"/>
                <w:lang w:val="fr-CA"/>
              </w:rPr>
            </w:pPr>
          </w:p>
        </w:tc>
        <w:tc>
          <w:tcPr>
            <w:tcW w:w="2698" w:type="dxa"/>
          </w:tcPr>
          <w:p w:rsidR="00656605" w:rsidRPr="00656605" w:rsidRDefault="00656605" w:rsidP="00656605">
            <w:pPr>
              <w:pStyle w:val="ChartBodyLeft"/>
              <w:numPr>
                <w:ilvl w:val="0"/>
                <w:numId w:val="26"/>
              </w:numPr>
              <w:rPr>
                <w:lang w:val="fr-CA"/>
              </w:rPr>
            </w:pPr>
            <w:r w:rsidRPr="00656605">
              <w:rPr>
                <w:lang w:val="fr-CA"/>
              </w:rPr>
              <w:t>Formuler une question bien structurée pour un scénario clinique donné, au moyen d’un cadre précis (érudit 3.3, jalon d’entrée en résidence)</w:t>
            </w:r>
          </w:p>
          <w:p w:rsidR="00A625B8" w:rsidRPr="00656605" w:rsidRDefault="00656605" w:rsidP="00656605">
            <w:pPr>
              <w:pStyle w:val="ChartBodyLeft"/>
              <w:numPr>
                <w:ilvl w:val="0"/>
                <w:numId w:val="26"/>
              </w:numPr>
              <w:rPr>
                <w:lang w:val="fr-CA"/>
              </w:rPr>
            </w:pPr>
            <w:r w:rsidRPr="00656605">
              <w:rPr>
                <w:lang w:val="fr-CA"/>
              </w:rPr>
              <w:t>Générer des questions précises face à l’incertitude ou des lacunes en matière de connaissances (érudit 3.1, jalon de la maîtrise de la discipline)</w:t>
            </w:r>
          </w:p>
          <w:p w:rsidR="00A625B8" w:rsidRPr="00656605" w:rsidRDefault="00A625B8" w:rsidP="00C925F0">
            <w:pPr>
              <w:pStyle w:val="ChartBodyLeft"/>
              <w:rPr>
                <w:rStyle w:val="SubtleReference"/>
                <w:b/>
                <w:lang w:val="fr-CA"/>
              </w:rPr>
            </w:pPr>
          </w:p>
        </w:tc>
      </w:tr>
      <w:tr w:rsidR="00A625B8" w:rsidRPr="00656605" w:rsidTr="00C925F0">
        <w:tc>
          <w:tcPr>
            <w:tcW w:w="2697" w:type="dxa"/>
          </w:tcPr>
          <w:p w:rsidR="00A625B8" w:rsidRPr="00656605" w:rsidRDefault="00656605" w:rsidP="00C925F0">
            <w:pPr>
              <w:pStyle w:val="ChartBodyLeft"/>
              <w:numPr>
                <w:ilvl w:val="0"/>
                <w:numId w:val="24"/>
              </w:numPr>
              <w:rPr>
                <w:rStyle w:val="SubtleReference"/>
                <w:smallCaps w:val="0"/>
                <w:color w:val="595959"/>
                <w:lang w:val="fr-CA"/>
              </w:rPr>
            </w:pPr>
            <w:r w:rsidRPr="00656605">
              <w:rPr>
                <w:lang w:val="fr-CA"/>
              </w:rPr>
              <w:t>Définir une stratégie de recherche</w:t>
            </w:r>
          </w:p>
        </w:tc>
        <w:tc>
          <w:tcPr>
            <w:tcW w:w="2697" w:type="dxa"/>
          </w:tcPr>
          <w:p w:rsidR="00656605" w:rsidRPr="00656605" w:rsidRDefault="00656605" w:rsidP="00656605">
            <w:pPr>
              <w:pStyle w:val="ChartBodyLeft"/>
              <w:numPr>
                <w:ilvl w:val="0"/>
                <w:numId w:val="27"/>
              </w:numPr>
              <w:rPr>
                <w:lang w:val="fr-CA"/>
              </w:rPr>
            </w:pPr>
            <w:r w:rsidRPr="00656605">
              <w:rPr>
                <w:lang w:val="fr-CA"/>
              </w:rPr>
              <w:t xml:space="preserve">Vous devez ensuite vous demander s’il convient de chercher dans la documentation principale ou de plutôt consulter une source fiable </w:t>
            </w:r>
            <w:proofErr w:type="spellStart"/>
            <w:r w:rsidRPr="00656605">
              <w:rPr>
                <w:lang w:val="fr-CA"/>
              </w:rPr>
              <w:t>préévaluée</w:t>
            </w:r>
            <w:proofErr w:type="spellEnd"/>
            <w:r w:rsidRPr="00656605">
              <w:rPr>
                <w:lang w:val="fr-CA"/>
              </w:rPr>
              <w:t xml:space="preserve"> pour trouver la réponse à la question.</w:t>
            </w:r>
          </w:p>
          <w:p w:rsidR="00A625B8" w:rsidRPr="00656605" w:rsidRDefault="00656605" w:rsidP="00656605">
            <w:pPr>
              <w:pStyle w:val="ChartBodyLeft"/>
              <w:numPr>
                <w:ilvl w:val="0"/>
                <w:numId w:val="27"/>
              </w:numPr>
              <w:rPr>
                <w:rStyle w:val="SubtleReference"/>
                <w:b/>
                <w:lang w:val="fr-CA"/>
              </w:rPr>
            </w:pPr>
            <w:r w:rsidRPr="00656605">
              <w:rPr>
                <w:lang w:val="fr-CA"/>
              </w:rPr>
              <w:t xml:space="preserve">(Discutez avec l’apprenant des sources </w:t>
            </w:r>
            <w:proofErr w:type="spellStart"/>
            <w:r w:rsidRPr="00656605">
              <w:rPr>
                <w:lang w:val="fr-CA"/>
              </w:rPr>
              <w:t>préévaluées</w:t>
            </w:r>
            <w:proofErr w:type="spellEnd"/>
            <w:r w:rsidRPr="00656605">
              <w:rPr>
                <w:lang w:val="fr-CA"/>
              </w:rPr>
              <w:t xml:space="preserve"> qu’il juge fiables et comparez celles-ci à votre propre liste de ressources.)</w:t>
            </w:r>
          </w:p>
        </w:tc>
        <w:tc>
          <w:tcPr>
            <w:tcW w:w="2698" w:type="dxa"/>
          </w:tcPr>
          <w:p w:rsidR="00A625B8" w:rsidRPr="00656605" w:rsidRDefault="00656605" w:rsidP="00C925F0">
            <w:pPr>
              <w:pStyle w:val="ChartBodyLeft"/>
              <w:numPr>
                <w:ilvl w:val="0"/>
                <w:numId w:val="27"/>
              </w:numPr>
              <w:rPr>
                <w:rStyle w:val="SubtleReference"/>
                <w:smallCaps w:val="0"/>
                <w:color w:val="000000"/>
                <w:lang w:val="fr-CA"/>
              </w:rPr>
            </w:pPr>
            <w:r w:rsidRPr="00656605">
              <w:rPr>
                <w:lang w:val="fr-CA"/>
              </w:rPr>
              <w:t xml:space="preserve">Décrire les avantages et les limites des ressources </w:t>
            </w:r>
            <w:proofErr w:type="spellStart"/>
            <w:r w:rsidRPr="00656605">
              <w:rPr>
                <w:lang w:val="fr-CA"/>
              </w:rPr>
              <w:t>préévaluées</w:t>
            </w:r>
            <w:proofErr w:type="spellEnd"/>
            <w:r w:rsidRPr="00656605">
              <w:rPr>
                <w:lang w:val="fr-CA"/>
              </w:rPr>
              <w:t xml:space="preserve"> (érudit 3.2, jalon d’entrée en résidence)</w:t>
            </w:r>
          </w:p>
        </w:tc>
        <w:tc>
          <w:tcPr>
            <w:tcW w:w="2698" w:type="dxa"/>
          </w:tcPr>
          <w:p w:rsidR="00A625B8" w:rsidRPr="00656605" w:rsidRDefault="00656605" w:rsidP="00C925F0">
            <w:pPr>
              <w:pStyle w:val="ChartBodyLeft"/>
              <w:numPr>
                <w:ilvl w:val="0"/>
                <w:numId w:val="27"/>
              </w:numPr>
              <w:rPr>
                <w:rStyle w:val="SubtleReference"/>
                <w:b/>
                <w:lang w:val="fr-CA"/>
              </w:rPr>
            </w:pPr>
            <w:r w:rsidRPr="00656605">
              <w:rPr>
                <w:lang w:val="fr-CA"/>
              </w:rPr>
              <w:t>Choisir des sources d’information appropriées au moment de chercher la réponse à des questions cliniques (érudit 3.2, jalon d’entrée en résidence)</w:t>
            </w:r>
          </w:p>
        </w:tc>
      </w:tr>
    </w:tbl>
    <w:p w:rsidR="00C925F0" w:rsidRPr="00656605" w:rsidRDefault="00C925F0" w:rsidP="00A625B8">
      <w:pPr>
        <w:rPr>
          <w:rStyle w:val="SubtleReference"/>
          <w:b/>
          <w:lang w:val="fr-CA"/>
        </w:rPr>
      </w:pPr>
    </w:p>
    <w:p w:rsidR="00C925F0" w:rsidRPr="00656605" w:rsidRDefault="00C925F0" w:rsidP="00C925F0">
      <w:pPr>
        <w:rPr>
          <w:lang w:val="fr-CA"/>
        </w:rPr>
      </w:pPr>
    </w:p>
    <w:p w:rsidR="00C925F0" w:rsidRPr="00656605" w:rsidRDefault="00C925F0" w:rsidP="00C925F0">
      <w:pPr>
        <w:rPr>
          <w:lang w:val="fr-CA"/>
        </w:rPr>
      </w:pPr>
    </w:p>
    <w:p w:rsidR="00C925F0" w:rsidRPr="00656605" w:rsidRDefault="00C925F0" w:rsidP="00C925F0">
      <w:pPr>
        <w:rPr>
          <w:lang w:val="fr-CA"/>
        </w:rPr>
      </w:pPr>
    </w:p>
    <w:p w:rsidR="00C925F0" w:rsidRPr="00656605" w:rsidRDefault="00C925F0" w:rsidP="00C925F0">
      <w:pPr>
        <w:rPr>
          <w:lang w:val="fr-CA"/>
        </w:rPr>
      </w:pPr>
    </w:p>
    <w:p w:rsidR="00C925F0" w:rsidRPr="00656605" w:rsidRDefault="00C925F0" w:rsidP="00C925F0">
      <w:pPr>
        <w:rPr>
          <w:lang w:val="fr-CA"/>
        </w:rPr>
      </w:pPr>
    </w:p>
    <w:p w:rsidR="00C925F0" w:rsidRPr="00656605" w:rsidRDefault="00C925F0" w:rsidP="00C925F0">
      <w:pPr>
        <w:rPr>
          <w:lang w:val="fr-CA"/>
        </w:rPr>
      </w:pPr>
    </w:p>
    <w:p w:rsidR="00C925F0" w:rsidRPr="00656605" w:rsidRDefault="00C925F0" w:rsidP="00C925F0">
      <w:pPr>
        <w:rPr>
          <w:lang w:val="fr-CA"/>
        </w:rPr>
      </w:pPr>
    </w:p>
    <w:p w:rsidR="00C925F0" w:rsidRPr="00656605" w:rsidRDefault="00C925F0" w:rsidP="00C925F0">
      <w:pPr>
        <w:rPr>
          <w:lang w:val="fr-CA"/>
        </w:rPr>
      </w:pPr>
    </w:p>
    <w:p w:rsidR="00C925F0" w:rsidRPr="00656605" w:rsidRDefault="00C925F0" w:rsidP="00C925F0">
      <w:pPr>
        <w:rPr>
          <w:lang w:val="fr-CA"/>
        </w:rPr>
      </w:pPr>
    </w:p>
    <w:p w:rsidR="00C925F0" w:rsidRPr="00656605" w:rsidRDefault="00C925F0" w:rsidP="00C925F0">
      <w:pPr>
        <w:rPr>
          <w:lang w:val="fr-CA"/>
        </w:rPr>
      </w:pPr>
    </w:p>
    <w:p w:rsidR="00C925F0" w:rsidRPr="00656605" w:rsidRDefault="00C925F0" w:rsidP="00C925F0">
      <w:pPr>
        <w:rPr>
          <w:lang w:val="fr-CA"/>
        </w:rPr>
      </w:pPr>
    </w:p>
    <w:p w:rsidR="00C925F0" w:rsidRPr="00656605" w:rsidRDefault="00C925F0" w:rsidP="00C925F0">
      <w:pPr>
        <w:rPr>
          <w:lang w:val="fr-CA"/>
        </w:rPr>
      </w:pPr>
    </w:p>
    <w:p w:rsidR="00C925F0" w:rsidRPr="00656605" w:rsidRDefault="00C925F0" w:rsidP="00C925F0">
      <w:pPr>
        <w:rPr>
          <w:lang w:val="fr-CA"/>
        </w:rPr>
      </w:pPr>
    </w:p>
    <w:p w:rsidR="00C925F0" w:rsidRPr="00656605" w:rsidRDefault="00C925F0" w:rsidP="00C925F0">
      <w:pPr>
        <w:rPr>
          <w:lang w:val="fr-CA"/>
        </w:rPr>
      </w:pPr>
    </w:p>
    <w:p w:rsidR="00A625B8" w:rsidRPr="00656605" w:rsidRDefault="00C925F0" w:rsidP="00C925F0">
      <w:pPr>
        <w:tabs>
          <w:tab w:val="left" w:pos="4755"/>
        </w:tabs>
        <w:rPr>
          <w:lang w:val="fr-CA"/>
        </w:rPr>
      </w:pPr>
      <w:r w:rsidRPr="00656605">
        <w:rPr>
          <w:lang w:val="fr-CA"/>
        </w:rPr>
        <w:tab/>
      </w:r>
    </w:p>
    <w:sectPr w:rsidR="00A625B8" w:rsidRPr="00656605" w:rsidSect="00A625B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605" w:rsidRDefault="00656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F25DC3"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F48B70"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F25DC3">
      <w:rPr>
        <w:b/>
        <w:sz w:val="18"/>
        <w:szCs w:val="18"/>
        <w:lang w:val="fr-CA"/>
      </w:rPr>
      <w:instrText xml:space="preserve"> PAGE   \* MERGEFORMAT </w:instrText>
    </w:r>
    <w:r w:rsidR="002802DD" w:rsidRPr="00813420">
      <w:rPr>
        <w:b/>
        <w:sz w:val="18"/>
        <w:szCs w:val="18"/>
      </w:rPr>
      <w:fldChar w:fldCharType="separate"/>
    </w:r>
    <w:r w:rsidR="00FB077A" w:rsidRPr="00F25DC3">
      <w:rPr>
        <w:b/>
        <w:noProof/>
        <w:sz w:val="18"/>
        <w:szCs w:val="18"/>
        <w:lang w:val="fr-CA"/>
      </w:rPr>
      <w:t>5</w:t>
    </w:r>
    <w:r w:rsidR="002802DD" w:rsidRPr="00813420">
      <w:rPr>
        <w:b/>
        <w:noProof/>
        <w:sz w:val="18"/>
        <w:szCs w:val="18"/>
      </w:rPr>
      <w:fldChar w:fldCharType="end"/>
    </w:r>
    <w:r w:rsidR="00CF104E" w:rsidRPr="00F25DC3">
      <w:rPr>
        <w:b/>
        <w:noProof/>
        <w:sz w:val="18"/>
        <w:szCs w:val="18"/>
        <w:lang w:val="fr-CA"/>
      </w:rPr>
      <w:br/>
    </w:r>
    <w:bookmarkStart w:id="0" w:name="_GoBack"/>
    <w:bookmarkEnd w:id="0"/>
  </w:p>
  <w:p w:rsidR="002802DD" w:rsidRPr="00656605" w:rsidRDefault="00656605" w:rsidP="00656605">
    <w:pPr>
      <w:autoSpaceDE w:val="0"/>
      <w:autoSpaceDN w:val="0"/>
      <w:adjustRightInd w:val="0"/>
      <w:spacing w:after="0" w:line="288" w:lineRule="auto"/>
      <w:jc w:val="center"/>
      <w:textAlignment w:val="center"/>
      <w:rPr>
        <w:rFonts w:ascii="MinionPro-Regular" w:hAnsi="MinionPro-Regular" w:cs="MinionPro-Regular"/>
        <w:color w:val="7F7F7F"/>
        <w:szCs w:val="24"/>
        <w:lang w:val="fr-CA"/>
      </w:rPr>
    </w:pPr>
    <w:r w:rsidRPr="00656605">
      <w:rPr>
        <w:rFonts w:cs="Open Sans"/>
        <w:color w:val="7F7F7F"/>
        <w:sz w:val="14"/>
        <w:szCs w:val="14"/>
        <w:lang w:val="fr-CA"/>
      </w:rPr>
      <w:t>Érudit Outils d’enseignement–</w:t>
    </w:r>
    <w:r>
      <w:rPr>
        <w:rFonts w:cs="Open Sans"/>
        <w:color w:val="003A5B" w:themeColor="text2"/>
        <w:sz w:val="14"/>
        <w:szCs w:val="14"/>
        <w:lang w:val="fr-CA"/>
      </w:rPr>
      <w:t xml:space="preserve"> SCRIPTS P</w:t>
    </w:r>
    <w:r w:rsidR="00F25DC3" w:rsidRPr="00F25DC3">
      <w:rPr>
        <w:rFonts w:cs="Open Sans"/>
        <w:color w:val="003A5B" w:themeColor="text2"/>
        <w:sz w:val="14"/>
        <w:szCs w:val="14"/>
        <w:lang w:val="fr-CA"/>
      </w:rPr>
      <w:t>É</w:t>
    </w:r>
    <w:r>
      <w:rPr>
        <w:rFonts w:cs="Open Sans"/>
        <w:color w:val="003A5B" w:themeColor="text2"/>
        <w:sz w:val="14"/>
        <w:szCs w:val="14"/>
        <w:lang w:val="fr-CA"/>
      </w:rPr>
      <w:t xml:space="preserve">DAGOGIQUES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605" w:rsidRDefault="00656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605" w:rsidRDefault="00656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9E9692E"/>
    <w:multiLevelType w:val="hybridMultilevel"/>
    <w:tmpl w:val="B5D08C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0D3E35C6"/>
    <w:multiLevelType w:val="hybridMultilevel"/>
    <w:tmpl w:val="720A8442"/>
    <w:lvl w:ilvl="0" w:tplc="2CAE97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5F4CAC"/>
    <w:multiLevelType w:val="hybridMultilevel"/>
    <w:tmpl w:val="0B32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F05DCE"/>
    <w:multiLevelType w:val="hybridMultilevel"/>
    <w:tmpl w:val="3BA46ECE"/>
    <w:lvl w:ilvl="0" w:tplc="13C23C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C5FBD"/>
    <w:multiLevelType w:val="hybridMultilevel"/>
    <w:tmpl w:val="0DDCF764"/>
    <w:lvl w:ilvl="0" w:tplc="A27CDE62">
      <w:start w:val="2"/>
      <w:numFmt w:val="bullet"/>
      <w:lvlText w:val=""/>
      <w:lvlJc w:val="left"/>
      <w:pPr>
        <w:ind w:left="1080" w:hanging="360"/>
      </w:pPr>
      <w:rPr>
        <w:rFonts w:ascii="Wingdings" w:eastAsia="MS ??"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1EC25F4"/>
    <w:multiLevelType w:val="hybridMultilevel"/>
    <w:tmpl w:val="8374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93713"/>
    <w:multiLevelType w:val="hybridMultilevel"/>
    <w:tmpl w:val="15E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F5C34"/>
    <w:multiLevelType w:val="hybridMultilevel"/>
    <w:tmpl w:val="38DA4EC0"/>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66A375D"/>
    <w:multiLevelType w:val="hybridMultilevel"/>
    <w:tmpl w:val="6764C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CE0C8F"/>
    <w:multiLevelType w:val="hybridMultilevel"/>
    <w:tmpl w:val="AE628F1A"/>
    <w:lvl w:ilvl="0" w:tplc="D898FFBA">
      <w:start w:val="1"/>
      <w:numFmt w:val="decimal"/>
      <w:lvlText w:val="%1."/>
      <w:lvlJc w:val="left"/>
      <w:pPr>
        <w:ind w:left="720" w:hanging="360"/>
      </w:pPr>
      <w:rPr>
        <w:rFonts w:hint="default"/>
        <w:color w:val="59595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6862"/>
    <w:multiLevelType w:val="hybridMultilevel"/>
    <w:tmpl w:val="7E3AFEBE"/>
    <w:lvl w:ilvl="0" w:tplc="A27CDE62">
      <w:start w:val="2"/>
      <w:numFmt w:val="bullet"/>
      <w:lvlText w:val=""/>
      <w:lvlJc w:val="left"/>
      <w:pPr>
        <w:ind w:left="1440" w:hanging="360"/>
      </w:pPr>
      <w:rPr>
        <w:rFonts w:ascii="Wingdings" w:eastAsia="MS ??"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F56B99"/>
    <w:multiLevelType w:val="hybridMultilevel"/>
    <w:tmpl w:val="742ADFAC"/>
    <w:lvl w:ilvl="0" w:tplc="4BE85E0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B1E7A"/>
    <w:multiLevelType w:val="hybridMultilevel"/>
    <w:tmpl w:val="B86A2D7A"/>
    <w:lvl w:ilvl="0" w:tplc="9260E63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0117F9"/>
    <w:multiLevelType w:val="hybridMultilevel"/>
    <w:tmpl w:val="E9342160"/>
    <w:lvl w:ilvl="0" w:tplc="4BE85E0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6"/>
  </w:num>
  <w:num w:numId="15">
    <w:abstractNumId w:val="21"/>
  </w:num>
  <w:num w:numId="16">
    <w:abstractNumId w:val="16"/>
  </w:num>
  <w:num w:numId="17">
    <w:abstractNumId w:val="22"/>
  </w:num>
  <w:num w:numId="18">
    <w:abstractNumId w:val="15"/>
  </w:num>
  <w:num w:numId="19">
    <w:abstractNumId w:val="20"/>
  </w:num>
  <w:num w:numId="20">
    <w:abstractNumId w:val="18"/>
  </w:num>
  <w:num w:numId="21">
    <w:abstractNumId w:val="11"/>
  </w:num>
  <w:num w:numId="22">
    <w:abstractNumId w:val="17"/>
  </w:num>
  <w:num w:numId="23">
    <w:abstractNumId w:val="13"/>
  </w:num>
  <w:num w:numId="24">
    <w:abstractNumId w:val="12"/>
  </w:num>
  <w:num w:numId="25">
    <w:abstractNumId w:val="25"/>
  </w:num>
  <w:num w:numId="26">
    <w:abstractNumId w:val="24"/>
  </w:num>
  <w:num w:numId="27">
    <w:abstractNumId w:val="23"/>
  </w:num>
  <w:num w:numId="28">
    <w:abstractNumId w:val="11"/>
    <w:lvlOverride w:ilvl="0"/>
    <w:lvlOverride w:ilvl="1"/>
    <w:lvlOverride w:ilvl="2"/>
    <w:lvlOverride w:ilvl="3"/>
    <w:lvlOverride w:ilvl="4"/>
    <w:lvlOverride w:ilvl="5"/>
    <w:lvlOverride w:ilvl="6"/>
    <w:lvlOverride w:ilvl="7"/>
    <w:lvlOverride w:ilvl="8"/>
  </w:num>
  <w:num w:numId="29">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27AE8"/>
    <w:rsid w:val="00055482"/>
    <w:rsid w:val="00073A17"/>
    <w:rsid w:val="000753B2"/>
    <w:rsid w:val="00095B03"/>
    <w:rsid w:val="000A47F0"/>
    <w:rsid w:val="000F481B"/>
    <w:rsid w:val="0010681F"/>
    <w:rsid w:val="00150E2D"/>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56605"/>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95F49"/>
    <w:rsid w:val="009E2429"/>
    <w:rsid w:val="00A104E4"/>
    <w:rsid w:val="00A24FBE"/>
    <w:rsid w:val="00A625B8"/>
    <w:rsid w:val="00A922DA"/>
    <w:rsid w:val="00AE0AF1"/>
    <w:rsid w:val="00AE7966"/>
    <w:rsid w:val="00AF2D83"/>
    <w:rsid w:val="00B6716C"/>
    <w:rsid w:val="00B87B52"/>
    <w:rsid w:val="00BB4DA6"/>
    <w:rsid w:val="00C05470"/>
    <w:rsid w:val="00C10EE1"/>
    <w:rsid w:val="00C11BB5"/>
    <w:rsid w:val="00C1205C"/>
    <w:rsid w:val="00C3677C"/>
    <w:rsid w:val="00C829F3"/>
    <w:rsid w:val="00C925F0"/>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25DC3"/>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7FE13E"/>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A625B8"/>
    <w:rPr>
      <w:smallCaps/>
      <w:color w:val="5A5A5A" w:themeColor="text1" w:themeTint="A5"/>
    </w:rPr>
  </w:style>
  <w:style w:type="character" w:styleId="FootnoteReference">
    <w:name w:val="footnote reference"/>
    <w:basedOn w:val="DefaultParagraphFont"/>
    <w:uiPriority w:val="99"/>
    <w:semiHidden/>
    <w:unhideWhenUsed/>
    <w:rsid w:val="00A625B8"/>
    <w:rPr>
      <w:vertAlign w:val="superscript"/>
    </w:rPr>
  </w:style>
  <w:style w:type="paragraph" w:styleId="Subtitle">
    <w:name w:val="Subtitle"/>
    <w:basedOn w:val="Normal"/>
    <w:next w:val="Normal"/>
    <w:link w:val="SubtitleChar"/>
    <w:uiPriority w:val="11"/>
    <w:qFormat/>
    <w:rsid w:val="00A922D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A922D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3870">
      <w:bodyDiv w:val="1"/>
      <w:marLeft w:val="0"/>
      <w:marRight w:val="0"/>
      <w:marTop w:val="0"/>
      <w:marBottom w:val="0"/>
      <w:divBdr>
        <w:top w:val="none" w:sz="0" w:space="0" w:color="auto"/>
        <w:left w:val="none" w:sz="0" w:space="0" w:color="auto"/>
        <w:bottom w:val="none" w:sz="0" w:space="0" w:color="auto"/>
        <w:right w:val="none" w:sz="0" w:space="0" w:color="auto"/>
      </w:divBdr>
    </w:div>
    <w:div w:id="40786911">
      <w:bodyDiv w:val="1"/>
      <w:marLeft w:val="0"/>
      <w:marRight w:val="0"/>
      <w:marTop w:val="0"/>
      <w:marBottom w:val="0"/>
      <w:divBdr>
        <w:top w:val="none" w:sz="0" w:space="0" w:color="auto"/>
        <w:left w:val="none" w:sz="0" w:space="0" w:color="auto"/>
        <w:bottom w:val="none" w:sz="0" w:space="0" w:color="auto"/>
        <w:right w:val="none" w:sz="0" w:space="0" w:color="auto"/>
      </w:divBdr>
    </w:div>
    <w:div w:id="73666007">
      <w:bodyDiv w:val="1"/>
      <w:marLeft w:val="0"/>
      <w:marRight w:val="0"/>
      <w:marTop w:val="0"/>
      <w:marBottom w:val="0"/>
      <w:divBdr>
        <w:top w:val="none" w:sz="0" w:space="0" w:color="auto"/>
        <w:left w:val="none" w:sz="0" w:space="0" w:color="auto"/>
        <w:bottom w:val="none" w:sz="0" w:space="0" w:color="auto"/>
        <w:right w:val="none" w:sz="0" w:space="0" w:color="auto"/>
      </w:divBdr>
    </w:div>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228929190">
      <w:bodyDiv w:val="1"/>
      <w:marLeft w:val="0"/>
      <w:marRight w:val="0"/>
      <w:marTop w:val="0"/>
      <w:marBottom w:val="0"/>
      <w:divBdr>
        <w:top w:val="none" w:sz="0" w:space="0" w:color="auto"/>
        <w:left w:val="none" w:sz="0" w:space="0" w:color="auto"/>
        <w:bottom w:val="none" w:sz="0" w:space="0" w:color="auto"/>
        <w:right w:val="none" w:sz="0" w:space="0" w:color="auto"/>
      </w:divBdr>
    </w:div>
    <w:div w:id="606355552">
      <w:bodyDiv w:val="1"/>
      <w:marLeft w:val="0"/>
      <w:marRight w:val="0"/>
      <w:marTop w:val="0"/>
      <w:marBottom w:val="0"/>
      <w:divBdr>
        <w:top w:val="none" w:sz="0" w:space="0" w:color="auto"/>
        <w:left w:val="none" w:sz="0" w:space="0" w:color="auto"/>
        <w:bottom w:val="none" w:sz="0" w:space="0" w:color="auto"/>
        <w:right w:val="none" w:sz="0" w:space="0" w:color="auto"/>
      </w:divBdr>
    </w:div>
    <w:div w:id="641738535">
      <w:bodyDiv w:val="1"/>
      <w:marLeft w:val="0"/>
      <w:marRight w:val="0"/>
      <w:marTop w:val="0"/>
      <w:marBottom w:val="0"/>
      <w:divBdr>
        <w:top w:val="none" w:sz="0" w:space="0" w:color="auto"/>
        <w:left w:val="none" w:sz="0" w:space="0" w:color="auto"/>
        <w:bottom w:val="none" w:sz="0" w:space="0" w:color="auto"/>
        <w:right w:val="none" w:sz="0" w:space="0" w:color="auto"/>
      </w:divBdr>
    </w:div>
    <w:div w:id="818300450">
      <w:bodyDiv w:val="1"/>
      <w:marLeft w:val="0"/>
      <w:marRight w:val="0"/>
      <w:marTop w:val="0"/>
      <w:marBottom w:val="0"/>
      <w:divBdr>
        <w:top w:val="none" w:sz="0" w:space="0" w:color="auto"/>
        <w:left w:val="none" w:sz="0" w:space="0" w:color="auto"/>
        <w:bottom w:val="none" w:sz="0" w:space="0" w:color="auto"/>
        <w:right w:val="none" w:sz="0" w:space="0" w:color="auto"/>
      </w:divBdr>
    </w:div>
    <w:div w:id="920331760">
      <w:bodyDiv w:val="1"/>
      <w:marLeft w:val="0"/>
      <w:marRight w:val="0"/>
      <w:marTop w:val="0"/>
      <w:marBottom w:val="0"/>
      <w:divBdr>
        <w:top w:val="none" w:sz="0" w:space="0" w:color="auto"/>
        <w:left w:val="none" w:sz="0" w:space="0" w:color="auto"/>
        <w:bottom w:val="none" w:sz="0" w:space="0" w:color="auto"/>
        <w:right w:val="none" w:sz="0" w:space="0" w:color="auto"/>
      </w:divBdr>
    </w:div>
    <w:div w:id="931207215">
      <w:bodyDiv w:val="1"/>
      <w:marLeft w:val="0"/>
      <w:marRight w:val="0"/>
      <w:marTop w:val="0"/>
      <w:marBottom w:val="0"/>
      <w:divBdr>
        <w:top w:val="none" w:sz="0" w:space="0" w:color="auto"/>
        <w:left w:val="none" w:sz="0" w:space="0" w:color="auto"/>
        <w:bottom w:val="none" w:sz="0" w:space="0" w:color="auto"/>
        <w:right w:val="none" w:sz="0" w:space="0" w:color="auto"/>
      </w:divBdr>
    </w:div>
    <w:div w:id="969364687">
      <w:bodyDiv w:val="1"/>
      <w:marLeft w:val="0"/>
      <w:marRight w:val="0"/>
      <w:marTop w:val="0"/>
      <w:marBottom w:val="0"/>
      <w:divBdr>
        <w:top w:val="none" w:sz="0" w:space="0" w:color="auto"/>
        <w:left w:val="none" w:sz="0" w:space="0" w:color="auto"/>
        <w:bottom w:val="none" w:sz="0" w:space="0" w:color="auto"/>
        <w:right w:val="none" w:sz="0" w:space="0" w:color="auto"/>
      </w:divBdr>
    </w:div>
    <w:div w:id="1024281923">
      <w:bodyDiv w:val="1"/>
      <w:marLeft w:val="0"/>
      <w:marRight w:val="0"/>
      <w:marTop w:val="0"/>
      <w:marBottom w:val="0"/>
      <w:divBdr>
        <w:top w:val="none" w:sz="0" w:space="0" w:color="auto"/>
        <w:left w:val="none" w:sz="0" w:space="0" w:color="auto"/>
        <w:bottom w:val="none" w:sz="0" w:space="0" w:color="auto"/>
        <w:right w:val="none" w:sz="0" w:space="0" w:color="auto"/>
      </w:divBdr>
    </w:div>
    <w:div w:id="1079597192">
      <w:bodyDiv w:val="1"/>
      <w:marLeft w:val="0"/>
      <w:marRight w:val="0"/>
      <w:marTop w:val="0"/>
      <w:marBottom w:val="0"/>
      <w:divBdr>
        <w:top w:val="none" w:sz="0" w:space="0" w:color="auto"/>
        <w:left w:val="none" w:sz="0" w:space="0" w:color="auto"/>
        <w:bottom w:val="none" w:sz="0" w:space="0" w:color="auto"/>
        <w:right w:val="none" w:sz="0" w:space="0" w:color="auto"/>
      </w:divBdr>
    </w:div>
    <w:div w:id="1324240543">
      <w:bodyDiv w:val="1"/>
      <w:marLeft w:val="0"/>
      <w:marRight w:val="0"/>
      <w:marTop w:val="0"/>
      <w:marBottom w:val="0"/>
      <w:divBdr>
        <w:top w:val="none" w:sz="0" w:space="0" w:color="auto"/>
        <w:left w:val="none" w:sz="0" w:space="0" w:color="auto"/>
        <w:bottom w:val="none" w:sz="0" w:space="0" w:color="auto"/>
        <w:right w:val="none" w:sz="0" w:space="0" w:color="auto"/>
      </w:divBdr>
    </w:div>
    <w:div w:id="1446584281">
      <w:bodyDiv w:val="1"/>
      <w:marLeft w:val="0"/>
      <w:marRight w:val="0"/>
      <w:marTop w:val="0"/>
      <w:marBottom w:val="0"/>
      <w:divBdr>
        <w:top w:val="none" w:sz="0" w:space="0" w:color="auto"/>
        <w:left w:val="none" w:sz="0" w:space="0" w:color="auto"/>
        <w:bottom w:val="none" w:sz="0" w:space="0" w:color="auto"/>
        <w:right w:val="none" w:sz="0" w:space="0" w:color="auto"/>
      </w:divBdr>
    </w:div>
    <w:div w:id="1479153118">
      <w:bodyDiv w:val="1"/>
      <w:marLeft w:val="0"/>
      <w:marRight w:val="0"/>
      <w:marTop w:val="0"/>
      <w:marBottom w:val="0"/>
      <w:divBdr>
        <w:top w:val="none" w:sz="0" w:space="0" w:color="auto"/>
        <w:left w:val="none" w:sz="0" w:space="0" w:color="auto"/>
        <w:bottom w:val="none" w:sz="0" w:space="0" w:color="auto"/>
        <w:right w:val="none" w:sz="0" w:space="0" w:color="auto"/>
      </w:divBdr>
    </w:div>
    <w:div w:id="1486050660">
      <w:bodyDiv w:val="1"/>
      <w:marLeft w:val="0"/>
      <w:marRight w:val="0"/>
      <w:marTop w:val="0"/>
      <w:marBottom w:val="0"/>
      <w:divBdr>
        <w:top w:val="none" w:sz="0" w:space="0" w:color="auto"/>
        <w:left w:val="none" w:sz="0" w:space="0" w:color="auto"/>
        <w:bottom w:val="none" w:sz="0" w:space="0" w:color="auto"/>
        <w:right w:val="none" w:sz="0" w:space="0" w:color="auto"/>
      </w:divBdr>
    </w:div>
    <w:div w:id="1742799550">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085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4CC8-8561-4E98-AE97-134146438644}">
  <ds:schemaRef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f3c17827-2a44-4186-817e-0d9f5805cdb5"/>
    <ds:schemaRef ds:uri="http://schemas.microsoft.com/office/2006/metadata/properties"/>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31F3C-02E7-435D-9EF9-EECE71A8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27</TotalTime>
  <Pages>4</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6</cp:revision>
  <cp:lastPrinted>2018-08-24T17:51:00Z</cp:lastPrinted>
  <dcterms:created xsi:type="dcterms:W3CDTF">2021-10-21T15:42:00Z</dcterms:created>
  <dcterms:modified xsi:type="dcterms:W3CDTF">2021-11-24T20:42:00Z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