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F3016B" w:rsidRDefault="00F3016B" w:rsidP="00BB2A9B">
      <w:pPr>
        <w:pStyle w:val="Heading1"/>
        <w:rPr>
          <w:lang w:val="en-US"/>
        </w:rPr>
      </w:pPr>
      <w:proofErr w:type="spellStart"/>
      <w:r w:rsidRPr="00F3016B">
        <w:t>Outils</w:t>
      </w:r>
      <w:proofErr w:type="spellEnd"/>
      <w:r w:rsidRPr="00F3016B">
        <w:t xml:space="preserve"> </w:t>
      </w:r>
      <w:proofErr w:type="spellStart"/>
      <w:r w:rsidRPr="00F3016B">
        <w:t>d’évaluation</w:t>
      </w:r>
      <w:proofErr w:type="spellEnd"/>
      <w:r w:rsidRPr="00F3016B">
        <w:t xml:space="preserve"> </w:t>
      </w:r>
      <w:r w:rsidR="00BE6C24" w:rsidRPr="00F3016B">
        <w:t xml:space="preserve">4 – </w:t>
      </w:r>
      <w:proofErr w:type="spellStart"/>
      <w:r w:rsidRPr="00F3016B">
        <w:rPr>
          <w:lang w:val="en-US"/>
        </w:rPr>
        <w:t>Formulaire</w:t>
      </w:r>
      <w:proofErr w:type="spellEnd"/>
      <w:r w:rsidRPr="00F3016B">
        <w:rPr>
          <w:lang w:val="en-US"/>
        </w:rPr>
        <w:t xml:space="preserve"> de </w:t>
      </w:r>
      <w:proofErr w:type="spellStart"/>
      <w:r w:rsidRPr="00F3016B">
        <w:rPr>
          <w:lang w:val="en-US"/>
        </w:rPr>
        <w:t>suivi</w:t>
      </w:r>
      <w:proofErr w:type="spellEnd"/>
    </w:p>
    <w:p w:rsidR="002B03F8" w:rsidRPr="00F3016B" w:rsidRDefault="00BE6C24" w:rsidP="00BB2A9B">
      <w:pPr>
        <w:pStyle w:val="Subtitle"/>
        <w:rPr>
          <w:lang w:val="fr-CA"/>
        </w:rPr>
      </w:pPr>
      <w:r w:rsidRPr="00F3016B">
        <w:rPr>
          <w:lang w:val="fr-CA"/>
        </w:rPr>
        <w:t xml:space="preserve">CanMEDS </w:t>
      </w:r>
      <w:proofErr w:type="spellStart"/>
      <w:r w:rsidR="00F3016B" w:rsidRPr="00F3016B">
        <w:rPr>
          <w:lang w:val="fr-CA"/>
        </w:rPr>
        <w:t>Erudit</w:t>
      </w:r>
      <w:proofErr w:type="spellEnd"/>
      <w:r w:rsidR="00F3016B" w:rsidRPr="00F3016B">
        <w:rPr>
          <w:lang w:val="fr-CA"/>
        </w:rPr>
        <w:t xml:space="preserve"> </w:t>
      </w:r>
    </w:p>
    <w:p w:rsidR="00BE6C24" w:rsidRPr="00F3016B" w:rsidRDefault="00BE6C24" w:rsidP="00BE6C24">
      <w:pPr>
        <w:pStyle w:val="Heading2"/>
        <w:rPr>
          <w:lang w:val="fr-CA"/>
        </w:rPr>
      </w:pPr>
      <w:r w:rsidRPr="00F3016B">
        <w:rPr>
          <w:lang w:val="fr-CA"/>
        </w:rPr>
        <w:t>Li</w:t>
      </w:r>
      <w:r w:rsidR="00F3016B" w:rsidRPr="00F3016B">
        <w:rPr>
          <w:lang w:val="fr-CA"/>
        </w:rPr>
        <w:t>ste de vérification de haut niveau pour un projet de recherche</w:t>
      </w:r>
      <w:r>
        <w:rPr>
          <w:rStyle w:val="EndnoteReference"/>
          <w:b w:val="0"/>
          <w:sz w:val="28"/>
          <w:szCs w:val="28"/>
        </w:rPr>
        <w:endnoteReference w:id="1"/>
      </w:r>
    </w:p>
    <w:p w:rsidR="00F3016B" w:rsidRPr="00F3016B" w:rsidRDefault="00F3016B" w:rsidP="00F3016B">
      <w:pPr>
        <w:rPr>
          <w:iCs/>
          <w:smallCaps/>
          <w:color w:val="5A5A5A" w:themeColor="text1" w:themeTint="A5"/>
          <w:sz w:val="22"/>
          <w:lang w:val="fr-CA"/>
        </w:rPr>
      </w:pPr>
      <w:r w:rsidRPr="00F3016B">
        <w:rPr>
          <w:iCs/>
          <w:smallCaps/>
          <w:color w:val="5A5A5A" w:themeColor="text1" w:themeTint="A5"/>
          <w:sz w:val="22"/>
          <w:lang w:val="fr-CA"/>
        </w:rPr>
        <w:t xml:space="preserve">Le contenu ci-dessous, rédigé par S. </w:t>
      </w:r>
      <w:proofErr w:type="spellStart"/>
      <w:r w:rsidRPr="00F3016B">
        <w:rPr>
          <w:iCs/>
          <w:smallCaps/>
          <w:color w:val="5A5A5A" w:themeColor="text1" w:themeTint="A5"/>
          <w:sz w:val="22"/>
          <w:lang w:val="fr-CA"/>
        </w:rPr>
        <w:t>Ackroyd</w:t>
      </w:r>
      <w:proofErr w:type="spellEnd"/>
      <w:r w:rsidRPr="00F3016B">
        <w:rPr>
          <w:iCs/>
          <w:smallCaps/>
          <w:color w:val="5A5A5A" w:themeColor="text1" w:themeTint="A5"/>
          <w:sz w:val="22"/>
          <w:lang w:val="fr-CA"/>
        </w:rPr>
        <w:t xml:space="preserve"> </w:t>
      </w:r>
      <w:proofErr w:type="spellStart"/>
      <w:r w:rsidRPr="00F3016B">
        <w:rPr>
          <w:iCs/>
          <w:smallCaps/>
          <w:color w:val="5A5A5A" w:themeColor="text1" w:themeTint="A5"/>
          <w:sz w:val="22"/>
          <w:lang w:val="fr-CA"/>
        </w:rPr>
        <w:t>Stolarz</w:t>
      </w:r>
      <w:proofErr w:type="spellEnd"/>
      <w:r w:rsidRPr="00F3016B">
        <w:rPr>
          <w:iCs/>
          <w:smallCaps/>
          <w:color w:val="5A5A5A" w:themeColor="text1" w:themeTint="A5"/>
          <w:sz w:val="22"/>
          <w:lang w:val="fr-CA"/>
        </w:rPr>
        <w:t xml:space="preserve"> sous la gouverne du Collège royal des médecins et chirurgiens du Canada, est tiré tel quel </w:t>
      </w:r>
      <w:proofErr w:type="spellStart"/>
      <w:r w:rsidRPr="00F3016B">
        <w:rPr>
          <w:iCs/>
          <w:smallCaps/>
          <w:color w:val="5A5A5A" w:themeColor="text1" w:themeTint="A5"/>
          <w:sz w:val="22"/>
          <w:lang w:val="fr-CA"/>
        </w:rPr>
        <w:t>du</w:t>
      </w:r>
      <w:proofErr w:type="spellEnd"/>
      <w:r w:rsidRPr="00F3016B">
        <w:rPr>
          <w:iCs/>
          <w:smallCaps/>
          <w:color w:val="5A5A5A" w:themeColor="text1" w:themeTint="A5"/>
          <w:sz w:val="22"/>
          <w:lang w:val="fr-CA"/>
        </w:rPr>
        <w:t xml:space="preserve"> Le guide de la recherche : introduction destinée aux résidents, autres stagiaires en santé et praticiens. Vous pouvez utiliser, reproduire et modifier ce contenu à vos propres fins non commerciales, à condition d’indiquer clairement vos changements et de créditer le Collège royal. Ce dernier peut révoquer cette autorisation à tout moment, par écrit.  </w:t>
      </w:r>
    </w:p>
    <w:p w:rsidR="00F3016B" w:rsidRPr="00F3016B" w:rsidRDefault="00F3016B" w:rsidP="00F3016B">
      <w:pPr>
        <w:rPr>
          <w:b/>
          <w:sz w:val="22"/>
          <w:lang w:val="fr-CA"/>
        </w:rPr>
      </w:pPr>
      <w:r w:rsidRPr="00F3016B">
        <w:rPr>
          <w:b/>
          <w:sz w:val="22"/>
          <w:lang w:val="fr-CA"/>
        </w:rPr>
        <w:t>REMARQUE : Le contenu ci-dessous peut avoir été modifié et ne plus représenter l’opinion ou le point de vue du Collège royal.</w:t>
      </w:r>
    </w:p>
    <w:p w:rsidR="00F3016B" w:rsidRPr="00F3016B" w:rsidRDefault="00F3016B" w:rsidP="00F3016B">
      <w:pPr>
        <w:pStyle w:val="Heading3"/>
        <w:rPr>
          <w:i/>
          <w:color w:val="003A5B" w:themeColor="text2"/>
          <w:lang w:val="fr-CA"/>
        </w:rPr>
      </w:pPr>
      <w:r w:rsidRPr="00F3016B">
        <w:rPr>
          <w:color w:val="003A5B" w:themeColor="text2"/>
          <w:lang w:val="fr-CA"/>
        </w:rPr>
        <w:t>Directives à l’intention de l’enseignant :</w:t>
      </w:r>
    </w:p>
    <w:p w:rsidR="00F3016B" w:rsidRPr="00F3016B" w:rsidRDefault="00F3016B" w:rsidP="00F3016B">
      <w:pPr>
        <w:pStyle w:val="ListParagraph"/>
        <w:rPr>
          <w:lang w:val="fr-CA"/>
        </w:rPr>
      </w:pPr>
      <w:r w:rsidRPr="00F3016B">
        <w:rPr>
          <w:lang w:val="fr-CA"/>
        </w:rPr>
        <w:t xml:space="preserve">Rencontrez l’apprenant pour une séance d’enseignement individuelle afin d’évaluer son progrès en ce qui concerne les principales étapes d’un projet de recherche. </w:t>
      </w:r>
    </w:p>
    <w:p w:rsidR="00F3016B" w:rsidRPr="00F3016B" w:rsidRDefault="00F3016B" w:rsidP="00F3016B">
      <w:pPr>
        <w:pStyle w:val="ListParagraph"/>
        <w:rPr>
          <w:lang w:val="fr-CA"/>
        </w:rPr>
      </w:pPr>
      <w:r w:rsidRPr="00F3016B">
        <w:rPr>
          <w:lang w:val="fr-CA"/>
        </w:rPr>
        <w:t xml:space="preserve">Préparez-vous à lui expliquer chacune des étapes au besoin. </w:t>
      </w:r>
    </w:p>
    <w:p w:rsidR="00F57348" w:rsidRPr="00F57348" w:rsidRDefault="00F3016B" w:rsidP="00F57348">
      <w:pPr>
        <w:pStyle w:val="ListParagraph"/>
        <w:rPr>
          <w:lang w:val="fr-CA"/>
        </w:rPr>
      </w:pPr>
      <w:r w:rsidRPr="00F3016B">
        <w:rPr>
          <w:lang w:val="fr-CA"/>
        </w:rPr>
        <w:t>Revenez régulièrement à la liste avec l’apprenant (aux trois mois p. ex.) afin de vérifier et de favoriser le progrès.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02"/>
        <w:gridCol w:w="1479"/>
        <w:gridCol w:w="1475"/>
        <w:gridCol w:w="1686"/>
      </w:tblGrid>
      <w:tr w:rsidR="00F57348" w:rsidRPr="00A93C62" w:rsidTr="00F57348">
        <w:trPr>
          <w:cantSplit/>
          <w:tblHeader/>
        </w:trPr>
        <w:tc>
          <w:tcPr>
            <w:tcW w:w="4602" w:type="dxa"/>
          </w:tcPr>
          <w:p w:rsidR="00BE6C24" w:rsidRPr="00F3016B" w:rsidRDefault="00F3016B" w:rsidP="00BE6C24">
            <w:pPr>
              <w:pStyle w:val="ChartHead"/>
              <w:rPr>
                <w:lang w:val="fr-CA"/>
              </w:rPr>
            </w:pPr>
            <w:r w:rsidRPr="00F3016B">
              <w:rPr>
                <w:rFonts w:eastAsiaTheme="minorEastAsia"/>
                <w:lang w:val="fr-CA" w:eastAsia="ja-JP"/>
              </w:rPr>
              <w:t xml:space="preserve">Éléments de la liste de vérification </w:t>
            </w:r>
          </w:p>
        </w:tc>
        <w:tc>
          <w:tcPr>
            <w:tcW w:w="1479" w:type="dxa"/>
          </w:tcPr>
          <w:p w:rsidR="00BE6C24" w:rsidRPr="00A93C62" w:rsidRDefault="00F3016B" w:rsidP="00BE6C24">
            <w:pPr>
              <w:pStyle w:val="ChartHead"/>
            </w:pPr>
            <w:proofErr w:type="spellStart"/>
            <w:r w:rsidRPr="00F3016B">
              <w:t>Réalisé</w:t>
            </w:r>
            <w:proofErr w:type="spellEnd"/>
          </w:p>
        </w:tc>
        <w:tc>
          <w:tcPr>
            <w:tcW w:w="1475" w:type="dxa"/>
          </w:tcPr>
          <w:p w:rsidR="00F3016B" w:rsidRPr="00F3016B" w:rsidRDefault="00F3016B" w:rsidP="00F3016B">
            <w:pPr>
              <w:pStyle w:val="ChartHead"/>
              <w:rPr>
                <w:lang w:val="en-US"/>
              </w:rPr>
            </w:pPr>
            <w:r w:rsidRPr="00F3016B">
              <w:rPr>
                <w:lang w:val="en-US"/>
              </w:rPr>
              <w:t>Pas encore</w:t>
            </w:r>
          </w:p>
          <w:p w:rsidR="00BE6C24" w:rsidRPr="00A93C62" w:rsidRDefault="00F3016B" w:rsidP="00F3016B">
            <w:pPr>
              <w:pStyle w:val="ChartHead"/>
            </w:pPr>
            <w:proofErr w:type="spellStart"/>
            <w:r w:rsidRPr="00F3016B">
              <w:rPr>
                <w:lang w:val="en-US"/>
              </w:rPr>
              <w:t>réalisé</w:t>
            </w:r>
            <w:proofErr w:type="spellEnd"/>
          </w:p>
        </w:tc>
        <w:tc>
          <w:tcPr>
            <w:tcW w:w="1686" w:type="dxa"/>
          </w:tcPr>
          <w:p w:rsidR="00BE6C24" w:rsidRPr="00A93C62" w:rsidRDefault="00F3016B" w:rsidP="00BE6C24">
            <w:pPr>
              <w:pStyle w:val="ChartHead"/>
            </w:pPr>
            <w:proofErr w:type="spellStart"/>
            <w:r w:rsidRPr="00F3016B">
              <w:t>Commentaires</w:t>
            </w:r>
            <w:proofErr w:type="spellEnd"/>
          </w:p>
        </w:tc>
      </w:tr>
      <w:tr w:rsidR="00F57348" w:rsidRPr="00F3016B" w:rsidTr="00F57348">
        <w:trPr>
          <w:trHeight w:val="863"/>
        </w:trPr>
        <w:tc>
          <w:tcPr>
            <w:tcW w:w="4602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  <w:r w:rsidRPr="00F3016B">
              <w:rPr>
                <w:lang w:val="fr-CA" w:eastAsia="ja-JP"/>
              </w:rPr>
              <w:t xml:space="preserve">1. </w:t>
            </w:r>
            <w:r w:rsidR="00F3016B" w:rsidRPr="00F3016B">
              <w:rPr>
                <w:lang w:val="fr-CA" w:eastAsia="ja-JP"/>
              </w:rPr>
              <w:t>Rencontrer le directeur de programme ou le coordonnateur de la recherche du département le plus tôt possible</w:t>
            </w:r>
          </w:p>
        </w:tc>
        <w:tc>
          <w:tcPr>
            <w:tcW w:w="1479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5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</w:tr>
      <w:tr w:rsidR="00F57348" w:rsidRPr="00F3016B" w:rsidTr="00F57348">
        <w:trPr>
          <w:trHeight w:val="890"/>
        </w:trPr>
        <w:tc>
          <w:tcPr>
            <w:tcW w:w="4602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  <w:r w:rsidRPr="00F3016B">
              <w:rPr>
                <w:lang w:val="fr-CA" w:eastAsia="ja-JP"/>
              </w:rPr>
              <w:t xml:space="preserve">2. </w:t>
            </w:r>
            <w:r w:rsidR="00F3016B" w:rsidRPr="00F3016B">
              <w:rPr>
                <w:lang w:val="fr-CA" w:eastAsia="ja-JP"/>
              </w:rPr>
              <w:t>Chercher des ressources d’introduction aux concepts fondamentaux de la méthodologie de recherche et de l’évaluation critique</w:t>
            </w:r>
          </w:p>
        </w:tc>
        <w:tc>
          <w:tcPr>
            <w:tcW w:w="1479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5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</w:tr>
      <w:tr w:rsidR="00F57348" w:rsidRPr="00F3016B" w:rsidTr="00F57348">
        <w:trPr>
          <w:trHeight w:val="818"/>
        </w:trPr>
        <w:tc>
          <w:tcPr>
            <w:tcW w:w="4602" w:type="dxa"/>
          </w:tcPr>
          <w:p w:rsidR="00BE6C24" w:rsidRPr="00F3016B" w:rsidRDefault="00BE6C24" w:rsidP="00BE6C24">
            <w:pPr>
              <w:pStyle w:val="ChartBodyLeft"/>
              <w:rPr>
                <w:lang w:val="fr-CA" w:eastAsia="ja-JP"/>
              </w:rPr>
            </w:pPr>
            <w:r w:rsidRPr="00F3016B">
              <w:rPr>
                <w:lang w:val="fr-CA" w:eastAsia="ja-JP"/>
              </w:rPr>
              <w:t xml:space="preserve">3. </w:t>
            </w:r>
            <w:r w:rsidR="00F3016B" w:rsidRPr="00F3016B">
              <w:rPr>
                <w:lang w:val="fr-CA" w:eastAsia="ja-JP"/>
              </w:rPr>
              <w:t>Désigner un superviseur de recherche</w:t>
            </w:r>
          </w:p>
        </w:tc>
        <w:tc>
          <w:tcPr>
            <w:tcW w:w="1479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1475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</w:tr>
      <w:tr w:rsidR="00F57348" w:rsidRPr="00F3016B" w:rsidTr="00F57348">
        <w:tc>
          <w:tcPr>
            <w:tcW w:w="4602" w:type="dxa"/>
          </w:tcPr>
          <w:p w:rsidR="00BE6C24" w:rsidRPr="00F3016B" w:rsidRDefault="00BE6C24" w:rsidP="00BE6C24">
            <w:pPr>
              <w:pStyle w:val="ChartBodyLeft"/>
              <w:rPr>
                <w:lang w:val="fr-CA" w:eastAsia="ja-JP"/>
              </w:rPr>
            </w:pPr>
            <w:r w:rsidRPr="00F3016B">
              <w:rPr>
                <w:lang w:val="fr-CA" w:eastAsia="ja-JP"/>
              </w:rPr>
              <w:lastRenderedPageBreak/>
              <w:t xml:space="preserve">4. </w:t>
            </w:r>
            <w:r w:rsidR="00F3016B" w:rsidRPr="00F3016B">
              <w:rPr>
                <w:lang w:val="fr-CA" w:eastAsia="ja-JP"/>
              </w:rPr>
              <w:t>Formuler une question de recherche ciblée et précise</w:t>
            </w:r>
          </w:p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9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5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</w:tr>
      <w:tr w:rsidR="00F57348" w:rsidRPr="00F3016B" w:rsidTr="00F57348">
        <w:tc>
          <w:tcPr>
            <w:tcW w:w="4602" w:type="dxa"/>
          </w:tcPr>
          <w:p w:rsidR="00BE6C24" w:rsidRPr="00F3016B" w:rsidRDefault="00BE6C24" w:rsidP="00BE6C24">
            <w:pPr>
              <w:pStyle w:val="ChartBodyLeft"/>
              <w:rPr>
                <w:lang w:val="fr-CA" w:eastAsia="ja-JP"/>
              </w:rPr>
            </w:pPr>
            <w:r w:rsidRPr="00F3016B">
              <w:rPr>
                <w:lang w:val="fr-CA" w:eastAsia="ja-JP"/>
              </w:rPr>
              <w:t xml:space="preserve">5. </w:t>
            </w:r>
            <w:r w:rsidR="00F3016B" w:rsidRPr="00F3016B">
              <w:rPr>
                <w:lang w:val="fr-CA" w:eastAsia="ja-JP"/>
              </w:rPr>
              <w:t>Élaborer un sommaire de la recherche</w:t>
            </w:r>
          </w:p>
          <w:p w:rsidR="00BE6C24" w:rsidRPr="00F3016B" w:rsidRDefault="00BE6C24" w:rsidP="00BE6C24">
            <w:pPr>
              <w:pStyle w:val="ChartBodyLeft"/>
              <w:rPr>
                <w:lang w:val="fr-CA" w:eastAsia="ja-JP"/>
              </w:rPr>
            </w:pPr>
          </w:p>
          <w:p w:rsidR="00BE6C24" w:rsidRPr="00F3016B" w:rsidRDefault="00BE6C24" w:rsidP="00BE6C24">
            <w:pPr>
              <w:pStyle w:val="ChartBodyLeft"/>
              <w:rPr>
                <w:lang w:val="fr-CA" w:eastAsia="ja-JP"/>
              </w:rPr>
            </w:pPr>
          </w:p>
        </w:tc>
        <w:tc>
          <w:tcPr>
            <w:tcW w:w="1479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5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</w:tr>
      <w:tr w:rsidR="00F57348" w:rsidRPr="00F3016B" w:rsidTr="00F57348">
        <w:tc>
          <w:tcPr>
            <w:tcW w:w="4602" w:type="dxa"/>
          </w:tcPr>
          <w:p w:rsidR="00BE6C24" w:rsidRPr="00F3016B" w:rsidRDefault="00BE6C24" w:rsidP="00BE6C24">
            <w:pPr>
              <w:pStyle w:val="ChartBodyLeft"/>
              <w:rPr>
                <w:lang w:val="fr-CA" w:eastAsia="ja-JP"/>
              </w:rPr>
            </w:pPr>
            <w:r w:rsidRPr="00F3016B">
              <w:rPr>
                <w:lang w:val="fr-CA" w:eastAsia="ja-JP"/>
              </w:rPr>
              <w:t xml:space="preserve">6. </w:t>
            </w:r>
            <w:r w:rsidR="00F3016B" w:rsidRPr="00F3016B">
              <w:rPr>
                <w:lang w:val="fr-CA" w:eastAsia="ja-JP"/>
              </w:rPr>
              <w:t>Rencontrer des spécialistes en méthodologie (plus particulièrement dans le domaine de la biostatistique) ayant une certaine expertise dans le domaine de l’étude</w:t>
            </w:r>
          </w:p>
        </w:tc>
        <w:tc>
          <w:tcPr>
            <w:tcW w:w="1479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5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</w:tr>
      <w:tr w:rsidR="00F57348" w:rsidRPr="00F3016B" w:rsidTr="00F57348">
        <w:tc>
          <w:tcPr>
            <w:tcW w:w="4602" w:type="dxa"/>
          </w:tcPr>
          <w:p w:rsidR="00BE6C24" w:rsidRPr="00F3016B" w:rsidRDefault="00BE6C24" w:rsidP="00BE6C24">
            <w:pPr>
              <w:pStyle w:val="ChartBodyLeft"/>
              <w:rPr>
                <w:lang w:val="fr-CA" w:eastAsia="ja-JP"/>
              </w:rPr>
            </w:pPr>
            <w:r w:rsidRPr="00F3016B">
              <w:rPr>
                <w:lang w:val="fr-CA" w:eastAsia="ja-JP"/>
              </w:rPr>
              <w:t xml:space="preserve">7. </w:t>
            </w:r>
            <w:r w:rsidR="00F3016B" w:rsidRPr="00F3016B">
              <w:rPr>
                <w:lang w:val="fr-CA" w:eastAsia="ja-JP"/>
              </w:rPr>
              <w:t>Élaborer un protocole de la recherche</w:t>
            </w:r>
          </w:p>
          <w:p w:rsidR="00BE6C24" w:rsidRPr="00F3016B" w:rsidRDefault="00BE6C24" w:rsidP="00BE6C24">
            <w:pPr>
              <w:pStyle w:val="ChartBodyLeft"/>
              <w:rPr>
                <w:lang w:val="fr-CA" w:eastAsia="ja-JP"/>
              </w:rPr>
            </w:pPr>
          </w:p>
          <w:p w:rsidR="00BE6C24" w:rsidRPr="00F3016B" w:rsidRDefault="00BE6C24" w:rsidP="00BE6C24">
            <w:pPr>
              <w:pStyle w:val="ChartBodyLeft"/>
              <w:rPr>
                <w:lang w:val="fr-CA" w:eastAsia="ja-JP"/>
              </w:rPr>
            </w:pPr>
          </w:p>
        </w:tc>
        <w:tc>
          <w:tcPr>
            <w:tcW w:w="1479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5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</w:tr>
      <w:tr w:rsidR="00F57348" w:rsidRPr="00F3016B" w:rsidTr="00F57348">
        <w:tc>
          <w:tcPr>
            <w:tcW w:w="4602" w:type="dxa"/>
          </w:tcPr>
          <w:p w:rsidR="00BE6C24" w:rsidRPr="00F3016B" w:rsidRDefault="00BE6C24" w:rsidP="00BE6C24">
            <w:pPr>
              <w:pStyle w:val="ChartBodyLeft"/>
              <w:rPr>
                <w:lang w:val="fr-CA" w:eastAsia="ja-JP"/>
              </w:rPr>
            </w:pPr>
            <w:r w:rsidRPr="00F3016B">
              <w:rPr>
                <w:lang w:val="fr-CA" w:eastAsia="ja-JP"/>
              </w:rPr>
              <w:t xml:space="preserve">8. </w:t>
            </w:r>
            <w:r w:rsidR="00F3016B" w:rsidRPr="00F3016B">
              <w:rPr>
                <w:lang w:val="fr-CA" w:eastAsia="ja-JP"/>
              </w:rPr>
              <w:t>Obtenir les approbations institutionnelles et éthiques (le cas échéant)</w:t>
            </w:r>
          </w:p>
          <w:p w:rsidR="00BE6C24" w:rsidRPr="00F3016B" w:rsidRDefault="00BE6C24" w:rsidP="00BE6C24">
            <w:pPr>
              <w:pStyle w:val="ChartBodyLeft"/>
              <w:rPr>
                <w:lang w:val="fr-CA" w:eastAsia="ja-JP"/>
              </w:rPr>
            </w:pPr>
          </w:p>
        </w:tc>
        <w:tc>
          <w:tcPr>
            <w:tcW w:w="1479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5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3016B" w:rsidRDefault="00BE6C24" w:rsidP="00BE6C24">
            <w:pPr>
              <w:pStyle w:val="ChartBodyLeft"/>
              <w:rPr>
                <w:lang w:val="fr-CA"/>
              </w:rPr>
            </w:pPr>
          </w:p>
        </w:tc>
      </w:tr>
      <w:tr w:rsidR="00F57348" w:rsidRPr="00AB67A9" w:rsidTr="00F57348">
        <w:tc>
          <w:tcPr>
            <w:tcW w:w="4602" w:type="dxa"/>
          </w:tcPr>
          <w:p w:rsidR="00BE6C24" w:rsidRDefault="00BE6C24" w:rsidP="00BE6C24">
            <w:pPr>
              <w:pStyle w:val="ChartBodyLeft"/>
              <w:rPr>
                <w:lang w:eastAsia="ja-JP"/>
              </w:rPr>
            </w:pPr>
            <w:r w:rsidRPr="00AB67A9">
              <w:rPr>
                <w:lang w:eastAsia="ja-JP"/>
              </w:rPr>
              <w:t xml:space="preserve">9. </w:t>
            </w:r>
            <w:proofErr w:type="spellStart"/>
            <w:r w:rsidR="00F3016B" w:rsidRPr="00F3016B">
              <w:rPr>
                <w:lang w:eastAsia="ja-JP"/>
              </w:rPr>
              <w:t>Obtenir</w:t>
            </w:r>
            <w:proofErr w:type="spellEnd"/>
            <w:r w:rsidR="00F3016B" w:rsidRPr="00F3016B">
              <w:rPr>
                <w:lang w:eastAsia="ja-JP"/>
              </w:rPr>
              <w:t xml:space="preserve"> le </w:t>
            </w:r>
            <w:proofErr w:type="spellStart"/>
            <w:r w:rsidR="00F3016B" w:rsidRPr="00F3016B">
              <w:rPr>
                <w:lang w:eastAsia="ja-JP"/>
              </w:rPr>
              <w:t>financement</w:t>
            </w:r>
            <w:proofErr w:type="spellEnd"/>
            <w:r w:rsidR="00F3016B" w:rsidRPr="00F3016B">
              <w:rPr>
                <w:lang w:eastAsia="ja-JP"/>
              </w:rPr>
              <w:t xml:space="preserve"> </w:t>
            </w:r>
            <w:proofErr w:type="spellStart"/>
            <w:r w:rsidR="00F3016B" w:rsidRPr="00F3016B">
              <w:rPr>
                <w:lang w:eastAsia="ja-JP"/>
              </w:rPr>
              <w:t>nécessaire</w:t>
            </w:r>
            <w:proofErr w:type="spellEnd"/>
          </w:p>
          <w:p w:rsidR="00BE6C24" w:rsidRDefault="00BE6C24" w:rsidP="00BE6C24">
            <w:pPr>
              <w:pStyle w:val="ChartBodyLeft"/>
              <w:rPr>
                <w:lang w:eastAsia="ja-JP"/>
              </w:rPr>
            </w:pPr>
          </w:p>
          <w:p w:rsidR="00BE6C24" w:rsidRPr="00AB67A9" w:rsidRDefault="00BE6C24" w:rsidP="00BE6C24">
            <w:pPr>
              <w:pStyle w:val="ChartBodyLeft"/>
              <w:rPr>
                <w:lang w:eastAsia="ja-JP"/>
              </w:rPr>
            </w:pPr>
          </w:p>
        </w:tc>
        <w:tc>
          <w:tcPr>
            <w:tcW w:w="1479" w:type="dxa"/>
          </w:tcPr>
          <w:p w:rsidR="00BE6C24" w:rsidRPr="00AB67A9" w:rsidRDefault="00BE6C24" w:rsidP="00BE6C24">
            <w:pPr>
              <w:pStyle w:val="ChartBodyLeft"/>
            </w:pPr>
          </w:p>
        </w:tc>
        <w:tc>
          <w:tcPr>
            <w:tcW w:w="1475" w:type="dxa"/>
          </w:tcPr>
          <w:p w:rsidR="00BE6C24" w:rsidRPr="00AB67A9" w:rsidRDefault="00BE6C24" w:rsidP="00BE6C24">
            <w:pPr>
              <w:pStyle w:val="ChartBodyLeft"/>
            </w:pPr>
          </w:p>
        </w:tc>
        <w:tc>
          <w:tcPr>
            <w:tcW w:w="1686" w:type="dxa"/>
          </w:tcPr>
          <w:p w:rsidR="00BE6C24" w:rsidRPr="00AB67A9" w:rsidRDefault="00BE6C24" w:rsidP="00BE6C24">
            <w:pPr>
              <w:pStyle w:val="ChartBodyLeft"/>
            </w:pPr>
          </w:p>
        </w:tc>
      </w:tr>
      <w:tr w:rsidR="00F57348" w:rsidRPr="00F57348" w:rsidTr="00F57348">
        <w:tc>
          <w:tcPr>
            <w:tcW w:w="4602" w:type="dxa"/>
          </w:tcPr>
          <w:p w:rsidR="00BE6C24" w:rsidRPr="00F57348" w:rsidRDefault="00BE6C24" w:rsidP="00BE6C24">
            <w:pPr>
              <w:pStyle w:val="ChartBodyLeft"/>
              <w:rPr>
                <w:lang w:val="fr-CA" w:eastAsia="ja-JP"/>
              </w:rPr>
            </w:pPr>
            <w:r w:rsidRPr="00F57348">
              <w:rPr>
                <w:lang w:val="fr-CA" w:eastAsia="ja-JP"/>
              </w:rPr>
              <w:t xml:space="preserve">10. </w:t>
            </w:r>
            <w:r w:rsidR="00F57348" w:rsidRPr="00F57348">
              <w:rPr>
                <w:lang w:val="fr-CA" w:eastAsia="ja-JP"/>
              </w:rPr>
              <w:t xml:space="preserve">Inscrire le projet (s’il s’agit d’un essai clinique) auprès des autorités appropriées (ex. : clinicaltrials.gov) </w:t>
            </w:r>
          </w:p>
        </w:tc>
        <w:tc>
          <w:tcPr>
            <w:tcW w:w="1479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5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</w:tr>
      <w:tr w:rsidR="00F57348" w:rsidRPr="00AB67A9" w:rsidTr="00F57348">
        <w:tc>
          <w:tcPr>
            <w:tcW w:w="4602" w:type="dxa"/>
          </w:tcPr>
          <w:p w:rsidR="00BE6C24" w:rsidRDefault="00BE6C24" w:rsidP="00BE6C24">
            <w:pPr>
              <w:pStyle w:val="ChartBodyLeft"/>
              <w:rPr>
                <w:lang w:eastAsia="ja-JP"/>
              </w:rPr>
            </w:pPr>
            <w:r w:rsidRPr="00AB67A9">
              <w:rPr>
                <w:lang w:eastAsia="ja-JP"/>
              </w:rPr>
              <w:t xml:space="preserve">11. </w:t>
            </w:r>
            <w:proofErr w:type="spellStart"/>
            <w:r w:rsidR="00F57348" w:rsidRPr="00F57348">
              <w:rPr>
                <w:lang w:eastAsia="ja-JP"/>
              </w:rPr>
              <w:t>Recueillir</w:t>
            </w:r>
            <w:proofErr w:type="spellEnd"/>
            <w:r w:rsidR="00F57348" w:rsidRPr="00F57348">
              <w:rPr>
                <w:lang w:eastAsia="ja-JP"/>
              </w:rPr>
              <w:t xml:space="preserve"> et analyser les </w:t>
            </w:r>
            <w:proofErr w:type="spellStart"/>
            <w:r w:rsidR="00F57348" w:rsidRPr="00F57348">
              <w:rPr>
                <w:lang w:eastAsia="ja-JP"/>
              </w:rPr>
              <w:t>données</w:t>
            </w:r>
            <w:proofErr w:type="spellEnd"/>
          </w:p>
          <w:p w:rsidR="00BE6C24" w:rsidRDefault="00BE6C24" w:rsidP="00BE6C24">
            <w:pPr>
              <w:pStyle w:val="ChartBodyLeft"/>
              <w:rPr>
                <w:lang w:eastAsia="ja-JP"/>
              </w:rPr>
            </w:pPr>
          </w:p>
          <w:p w:rsidR="00BE6C24" w:rsidRPr="00AB67A9" w:rsidRDefault="00BE6C24" w:rsidP="00BE6C24">
            <w:pPr>
              <w:pStyle w:val="ChartBodyLeft"/>
              <w:rPr>
                <w:lang w:eastAsia="ja-JP"/>
              </w:rPr>
            </w:pPr>
          </w:p>
        </w:tc>
        <w:tc>
          <w:tcPr>
            <w:tcW w:w="1479" w:type="dxa"/>
          </w:tcPr>
          <w:p w:rsidR="00BE6C24" w:rsidRPr="00AB67A9" w:rsidRDefault="00BE6C24" w:rsidP="00BE6C24">
            <w:pPr>
              <w:pStyle w:val="ChartBodyLeft"/>
            </w:pPr>
          </w:p>
        </w:tc>
        <w:tc>
          <w:tcPr>
            <w:tcW w:w="1475" w:type="dxa"/>
          </w:tcPr>
          <w:p w:rsidR="00BE6C24" w:rsidRPr="00AB67A9" w:rsidRDefault="00BE6C24" w:rsidP="00BE6C24">
            <w:pPr>
              <w:pStyle w:val="ChartBodyLeft"/>
            </w:pPr>
          </w:p>
        </w:tc>
        <w:tc>
          <w:tcPr>
            <w:tcW w:w="1686" w:type="dxa"/>
          </w:tcPr>
          <w:p w:rsidR="00BE6C24" w:rsidRPr="00AB67A9" w:rsidRDefault="00BE6C24" w:rsidP="00BE6C24">
            <w:pPr>
              <w:pStyle w:val="ChartBodyLeft"/>
            </w:pPr>
          </w:p>
        </w:tc>
      </w:tr>
      <w:tr w:rsidR="00F57348" w:rsidRPr="00AB67A9" w:rsidTr="00F57348">
        <w:tc>
          <w:tcPr>
            <w:tcW w:w="4602" w:type="dxa"/>
          </w:tcPr>
          <w:p w:rsidR="00BE6C24" w:rsidRDefault="00BE6C24" w:rsidP="00BE6C24">
            <w:pPr>
              <w:pStyle w:val="ChartBodyLeft"/>
              <w:rPr>
                <w:lang w:eastAsia="ja-JP"/>
              </w:rPr>
            </w:pPr>
            <w:r w:rsidRPr="00AB67A9">
              <w:rPr>
                <w:lang w:eastAsia="ja-JP"/>
              </w:rPr>
              <w:t xml:space="preserve">12. </w:t>
            </w:r>
            <w:proofErr w:type="spellStart"/>
            <w:r w:rsidR="00F57348" w:rsidRPr="00F57348">
              <w:rPr>
                <w:lang w:eastAsia="ja-JP"/>
              </w:rPr>
              <w:t>Présenter</w:t>
            </w:r>
            <w:proofErr w:type="spellEnd"/>
            <w:r w:rsidR="00F57348" w:rsidRPr="00F57348">
              <w:rPr>
                <w:lang w:eastAsia="ja-JP"/>
              </w:rPr>
              <w:t xml:space="preserve"> les </w:t>
            </w:r>
            <w:proofErr w:type="spellStart"/>
            <w:r w:rsidR="00F57348" w:rsidRPr="00F57348">
              <w:rPr>
                <w:lang w:eastAsia="ja-JP"/>
              </w:rPr>
              <w:t>constats</w:t>
            </w:r>
            <w:proofErr w:type="spellEnd"/>
          </w:p>
          <w:p w:rsidR="00BE6C24" w:rsidRDefault="00BE6C24" w:rsidP="00BE6C24">
            <w:pPr>
              <w:pStyle w:val="ChartBodyLeft"/>
              <w:rPr>
                <w:lang w:eastAsia="ja-JP"/>
              </w:rPr>
            </w:pPr>
          </w:p>
          <w:p w:rsidR="00BE6C24" w:rsidRPr="00AB67A9" w:rsidRDefault="00BE6C24" w:rsidP="00BE6C24">
            <w:pPr>
              <w:pStyle w:val="ChartBodyLeft"/>
              <w:rPr>
                <w:lang w:eastAsia="ja-JP"/>
              </w:rPr>
            </w:pPr>
          </w:p>
        </w:tc>
        <w:tc>
          <w:tcPr>
            <w:tcW w:w="1479" w:type="dxa"/>
          </w:tcPr>
          <w:p w:rsidR="00BE6C24" w:rsidRPr="00AB67A9" w:rsidRDefault="00BE6C24" w:rsidP="00BE6C24">
            <w:pPr>
              <w:pStyle w:val="ChartBodyLeft"/>
            </w:pPr>
          </w:p>
        </w:tc>
        <w:tc>
          <w:tcPr>
            <w:tcW w:w="1475" w:type="dxa"/>
          </w:tcPr>
          <w:p w:rsidR="00BE6C24" w:rsidRPr="00AB67A9" w:rsidRDefault="00BE6C24" w:rsidP="00BE6C24">
            <w:pPr>
              <w:pStyle w:val="ChartBodyLeft"/>
            </w:pPr>
          </w:p>
        </w:tc>
        <w:tc>
          <w:tcPr>
            <w:tcW w:w="1686" w:type="dxa"/>
          </w:tcPr>
          <w:p w:rsidR="00BE6C24" w:rsidRPr="00AB67A9" w:rsidRDefault="00BE6C24" w:rsidP="00BE6C24">
            <w:pPr>
              <w:pStyle w:val="ChartBodyLeft"/>
            </w:pPr>
          </w:p>
        </w:tc>
      </w:tr>
      <w:tr w:rsidR="00F57348" w:rsidRPr="00F57348" w:rsidTr="00F57348">
        <w:tc>
          <w:tcPr>
            <w:tcW w:w="4602" w:type="dxa"/>
          </w:tcPr>
          <w:p w:rsidR="00BE6C24" w:rsidRPr="00F57348" w:rsidRDefault="00BE6C24" w:rsidP="00BE6C24">
            <w:pPr>
              <w:pStyle w:val="ChartBodyLeft"/>
              <w:rPr>
                <w:lang w:val="fr-CA" w:eastAsia="ja-JP"/>
              </w:rPr>
            </w:pPr>
            <w:r w:rsidRPr="00F57348">
              <w:rPr>
                <w:lang w:val="fr-CA" w:eastAsia="ja-JP"/>
              </w:rPr>
              <w:t xml:space="preserve">13. </w:t>
            </w:r>
            <w:r w:rsidR="00F57348" w:rsidRPr="00F57348">
              <w:rPr>
                <w:lang w:val="fr-CA" w:eastAsia="ja-JP"/>
              </w:rPr>
              <w:t>Préparer et présenter un manuscrit décrivant l’étude et les résultats obtenus à une revue pertinente</w:t>
            </w:r>
          </w:p>
          <w:p w:rsidR="00BE6C24" w:rsidRPr="00F57348" w:rsidRDefault="00BE6C24" w:rsidP="00BE6C24">
            <w:pPr>
              <w:pStyle w:val="ChartBodyLeft"/>
              <w:rPr>
                <w:lang w:val="fr-CA" w:eastAsia="ja-JP"/>
              </w:rPr>
            </w:pPr>
          </w:p>
        </w:tc>
        <w:tc>
          <w:tcPr>
            <w:tcW w:w="1479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5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</w:tr>
      <w:tr w:rsidR="00F57348" w:rsidRPr="00F57348" w:rsidTr="00F57348">
        <w:tc>
          <w:tcPr>
            <w:tcW w:w="4602" w:type="dxa"/>
          </w:tcPr>
          <w:p w:rsidR="00F57348" w:rsidRPr="00F57348" w:rsidRDefault="00BE6C24" w:rsidP="00F57348">
            <w:pPr>
              <w:pStyle w:val="ChartBodyLeft"/>
              <w:rPr>
                <w:lang w:val="fr-CA" w:eastAsia="ja-JP"/>
              </w:rPr>
            </w:pPr>
            <w:r w:rsidRPr="00F57348">
              <w:rPr>
                <w:lang w:val="fr-CA" w:eastAsia="ja-JP"/>
              </w:rPr>
              <w:t xml:space="preserve">14. </w:t>
            </w:r>
            <w:r w:rsidR="00F57348" w:rsidRPr="00F57348">
              <w:rPr>
                <w:lang w:val="fr-CA" w:eastAsia="ja-JP"/>
              </w:rPr>
              <w:t>Réviser le manuscrit (s’il est retenu) en fonction des commentaires</w:t>
            </w:r>
          </w:p>
          <w:p w:rsidR="00BE6C24" w:rsidRPr="00F57348" w:rsidRDefault="00F57348" w:rsidP="00F57348">
            <w:pPr>
              <w:pStyle w:val="ChartBodyLeft"/>
              <w:rPr>
                <w:lang w:val="fr-CA" w:eastAsia="ja-JP"/>
              </w:rPr>
            </w:pPr>
            <w:proofErr w:type="gramStart"/>
            <w:r w:rsidRPr="00F57348">
              <w:rPr>
                <w:lang w:val="fr-CA" w:eastAsia="ja-JP"/>
              </w:rPr>
              <w:t>de</w:t>
            </w:r>
            <w:proofErr w:type="gramEnd"/>
            <w:r w:rsidRPr="00F57348">
              <w:rPr>
                <w:lang w:val="fr-CA" w:eastAsia="ja-JP"/>
              </w:rPr>
              <w:t xml:space="preserve"> rédacteurs et réviseurs</w:t>
            </w:r>
          </w:p>
        </w:tc>
        <w:tc>
          <w:tcPr>
            <w:tcW w:w="1479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5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</w:tr>
      <w:tr w:rsidR="00F57348" w:rsidRPr="00F57348" w:rsidTr="00F57348">
        <w:tc>
          <w:tcPr>
            <w:tcW w:w="4602" w:type="dxa"/>
          </w:tcPr>
          <w:p w:rsidR="00BE6C24" w:rsidRPr="00F57348" w:rsidRDefault="00BE6C24" w:rsidP="00BE6C24">
            <w:pPr>
              <w:pStyle w:val="ChartBodyLeft"/>
              <w:rPr>
                <w:lang w:val="fr-CA" w:eastAsia="ja-JP"/>
              </w:rPr>
            </w:pPr>
            <w:r w:rsidRPr="00F57348">
              <w:rPr>
                <w:lang w:val="fr-CA" w:eastAsia="ja-JP"/>
              </w:rPr>
              <w:t xml:space="preserve">15. </w:t>
            </w:r>
            <w:r w:rsidR="00F57348" w:rsidRPr="00F57348">
              <w:rPr>
                <w:lang w:val="fr-CA" w:eastAsia="ja-JP"/>
              </w:rPr>
              <w:t>Célébrer et remercier les coauteurs et le superviseur</w:t>
            </w:r>
          </w:p>
          <w:p w:rsidR="00BE6C24" w:rsidRPr="00F57348" w:rsidRDefault="00BE6C24" w:rsidP="00BE6C24">
            <w:pPr>
              <w:pStyle w:val="ChartBodyLeft"/>
              <w:rPr>
                <w:lang w:val="fr-CA" w:eastAsia="ja-JP"/>
              </w:rPr>
            </w:pPr>
          </w:p>
        </w:tc>
        <w:tc>
          <w:tcPr>
            <w:tcW w:w="1479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475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  <w:tc>
          <w:tcPr>
            <w:tcW w:w="1686" w:type="dxa"/>
          </w:tcPr>
          <w:p w:rsidR="00BE6C24" w:rsidRPr="00F57348" w:rsidRDefault="00BE6C24" w:rsidP="00BE6C24">
            <w:pPr>
              <w:pStyle w:val="ChartBodyLeft"/>
              <w:rPr>
                <w:lang w:val="fr-CA"/>
              </w:rPr>
            </w:pPr>
          </w:p>
        </w:tc>
      </w:tr>
    </w:tbl>
    <w:p w:rsidR="00BE6C24" w:rsidRPr="00F57348" w:rsidRDefault="00BE6C24" w:rsidP="00F57348">
      <w:pPr>
        <w:rPr>
          <w:lang w:val="fr-CA"/>
        </w:rPr>
      </w:pPr>
    </w:p>
    <w:sectPr w:rsidR="00BE6C24" w:rsidRPr="00F57348" w:rsidSect="00BE6C24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  <w:endnote w:id="1">
    <w:p w:rsidR="00BE6C24" w:rsidRPr="00F57348" w:rsidRDefault="00BE6C24" w:rsidP="00F57348">
      <w:pPr>
        <w:pStyle w:val="EndnoteText"/>
        <w:rPr>
          <w:lang w:val="fr-CA"/>
        </w:rPr>
      </w:pPr>
      <w:r>
        <w:rPr>
          <w:rStyle w:val="EndnoteReference"/>
          <w:sz w:val="16"/>
          <w:szCs w:val="16"/>
        </w:rPr>
        <w:endnoteRef/>
      </w:r>
      <w:r w:rsidRPr="00F57348">
        <w:rPr>
          <w:sz w:val="16"/>
          <w:szCs w:val="16"/>
          <w:lang w:val="fr-CA"/>
        </w:rPr>
        <w:t xml:space="preserve">  </w:t>
      </w:r>
      <w:r w:rsidR="00F57348" w:rsidRPr="00F57348">
        <w:rPr>
          <w:sz w:val="16"/>
          <w:szCs w:val="16"/>
          <w:lang w:val="fr-CA"/>
        </w:rPr>
        <w:t xml:space="preserve">Hahn PM. </w:t>
      </w:r>
      <w:r w:rsidR="00F57348" w:rsidRPr="00F57348">
        <w:rPr>
          <w:i/>
          <w:iCs/>
          <w:sz w:val="16"/>
          <w:szCs w:val="16"/>
          <w:lang w:val="fr-CA"/>
        </w:rPr>
        <w:t xml:space="preserve">Feuille de route pour la recherche : quinze étapes menant à la réussite d’un projet de recherche (et dix pièges à éviter). Tiré de : Harvey BJ, Lang ES,Frank JR, rédacteurs. Le guide de la recherche : introduction destinée aux résidents, autres stagiaires en santé et praticiens. </w:t>
      </w:r>
      <w:r w:rsidR="00F57348" w:rsidRPr="00F57348">
        <w:rPr>
          <w:sz w:val="16"/>
          <w:szCs w:val="16"/>
          <w:lang w:val="fr-CA"/>
        </w:rPr>
        <w:t>Ottawa : Collège royal des médecins et chirurgiens du Canada, 2011. Reproduit et adapté avec autorisation.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F57348" w:rsidRDefault="009E2429">
    <w:pPr>
      <w:pStyle w:val="Footer"/>
      <w:jc w:val="center"/>
      <w:rPr>
        <w:b/>
        <w:sz w:val="18"/>
        <w:szCs w:val="18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2830830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A17D9" id="Rectangle 3" o:spid="_x0000_s1026" style="position:absolute;margin-left:222.9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HOO2st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F57348">
      <w:rPr>
        <w:b/>
        <w:sz w:val="18"/>
        <w:szCs w:val="18"/>
        <w:lang w:val="fr-CA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 w:rsidRPr="00F57348">
      <w:rPr>
        <w:b/>
        <w:noProof/>
        <w:sz w:val="18"/>
        <w:szCs w:val="18"/>
        <w:lang w:val="fr-CA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 w:rsidRPr="00F57348">
      <w:rPr>
        <w:b/>
        <w:noProof/>
        <w:sz w:val="18"/>
        <w:szCs w:val="18"/>
        <w:lang w:val="fr-CA"/>
      </w:rPr>
      <w:br/>
    </w:r>
  </w:p>
  <w:p w:rsidR="002802DD" w:rsidRPr="00F57348" w:rsidRDefault="00F57348" w:rsidP="00F57348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MinionPro-Regular" w:hAnsi="MinionPro-Regular" w:cs="MinionPro-Regular"/>
        <w:color w:val="7F7F7F"/>
        <w:szCs w:val="24"/>
        <w:lang w:val="fr-CA"/>
      </w:rPr>
    </w:pPr>
    <w:r w:rsidRPr="00F57348">
      <w:rPr>
        <w:rFonts w:cs="Open Sans"/>
        <w:color w:val="7F7F7F"/>
        <w:sz w:val="14"/>
        <w:szCs w:val="14"/>
        <w:lang w:val="fr-CA"/>
      </w:rPr>
      <w:t>Érudit Outils d’évaluation–</w:t>
    </w:r>
    <w:r w:rsidRPr="00F57348">
      <w:rPr>
        <w:rFonts w:cs="Open Sans"/>
        <w:color w:val="003A5B" w:themeColor="text2"/>
        <w:sz w:val="14"/>
        <w:szCs w:val="14"/>
        <w:lang w:val="fr-CA"/>
      </w:rPr>
      <w:t xml:space="preserve"> </w:t>
    </w:r>
    <w:r>
      <w:rPr>
        <w:rFonts w:cs="Open Sans"/>
        <w:color w:val="003A5B" w:themeColor="text2"/>
        <w:sz w:val="14"/>
        <w:szCs w:val="14"/>
        <w:lang w:val="fr-CA"/>
      </w:rPr>
      <w:t>FORMULAIRE DE SUIVI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1A0C23"/>
    <w:multiLevelType w:val="hybridMultilevel"/>
    <w:tmpl w:val="96E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3E40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C2410"/>
    <w:rsid w:val="008D1DAB"/>
    <w:rsid w:val="008E3B4B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6716C"/>
    <w:rsid w:val="00B87B52"/>
    <w:rsid w:val="00BB2A9B"/>
    <w:rsid w:val="00BB4DA6"/>
    <w:rsid w:val="00BE6C24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016B"/>
    <w:rsid w:val="00F314BB"/>
    <w:rsid w:val="00F57348"/>
    <w:rsid w:val="00FB077A"/>
    <w:rsid w:val="00FB10BA"/>
    <w:rsid w:val="00FC5E4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9655E9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EndnoteText">
    <w:name w:val="endnote text"/>
    <w:basedOn w:val="Normal"/>
    <w:link w:val="EndnoteTextChar"/>
    <w:uiPriority w:val="99"/>
    <w:unhideWhenUsed/>
    <w:rsid w:val="00BE6C24"/>
    <w:pPr>
      <w:snapToGrid/>
      <w:spacing w:after="0"/>
    </w:pPr>
    <w:rPr>
      <w:rFonts w:ascii="Verdana" w:eastAsia="MS ??" w:hAnsi="Verdana"/>
      <w:noProof/>
      <w:color w:val="auto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E6C24"/>
    <w:rPr>
      <w:rFonts w:ascii="Verdana" w:eastAsia="MS ??" w:hAnsi="Verdana"/>
      <w:noProof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E6C24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BE6C24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A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2A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84CC8-8561-4E98-AE97-134146438644}">
  <ds:schemaRefs>
    <ds:schemaRef ds:uri="http://schemas.microsoft.com/office/2006/metadata/properties"/>
    <ds:schemaRef ds:uri="f3c17827-2a44-4186-817e-0d9f5805cdb5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A59C307-0F91-44D6-9330-CBE411AB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Delmore, Jaclyn</cp:lastModifiedBy>
  <cp:revision>5</cp:revision>
  <cp:lastPrinted>2018-08-24T17:51:00Z</cp:lastPrinted>
  <dcterms:created xsi:type="dcterms:W3CDTF">2021-10-21T18:13:00Z</dcterms:created>
  <dcterms:modified xsi:type="dcterms:W3CDTF">2021-11-25T19:17:00Z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