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9C2204" w:rsidRDefault="009C2204" w:rsidP="006A4987">
      <w:pPr>
        <w:pStyle w:val="Heading1"/>
        <w:rPr>
          <w:sz w:val="52"/>
          <w:lang w:val="fr-CA"/>
        </w:rPr>
      </w:pPr>
      <w:r w:rsidRPr="009C2204">
        <w:rPr>
          <w:sz w:val="52"/>
          <w:lang w:val="fr-CA"/>
        </w:rPr>
        <w:t>Outils d’enseignement 1 – Cours magistral ou présentation en grand groupe</w:t>
      </w:r>
    </w:p>
    <w:p w:rsidR="002B03F8" w:rsidRPr="009C2204" w:rsidRDefault="009C2204" w:rsidP="006A4987">
      <w:pPr>
        <w:pStyle w:val="Subtitle"/>
        <w:rPr>
          <w:lang w:val="fr-CA"/>
        </w:rPr>
      </w:pPr>
      <w:r w:rsidRPr="009C2204">
        <w:rPr>
          <w:lang w:val="fr-CA"/>
        </w:rPr>
        <w:t>CanMEDS Expert Médical</w:t>
      </w:r>
    </w:p>
    <w:p w:rsidR="009C2204" w:rsidRPr="009C2204" w:rsidRDefault="009C2204" w:rsidP="009C2204">
      <w:pPr>
        <w:pStyle w:val="Heading2"/>
        <w:rPr>
          <w:lang w:val="fr-CA" w:eastAsia="ja-JP"/>
        </w:rPr>
      </w:pPr>
      <w:r w:rsidRPr="009C2204">
        <w:rPr>
          <w:lang w:val="fr-CA" w:eastAsia="ja-JP"/>
        </w:rPr>
        <w:t>Fondements du rôle d’expert médical</w:t>
      </w:r>
    </w:p>
    <w:p w:rsidR="009C2204" w:rsidRPr="009C2204" w:rsidRDefault="009C2204" w:rsidP="009C2204">
      <w:pPr>
        <w:rPr>
          <w:rStyle w:val="SubtleReference"/>
          <w:sz w:val="22"/>
          <w:lang w:val="fr-CA"/>
        </w:rPr>
      </w:pPr>
      <w:r w:rsidRPr="009C2204">
        <w:rPr>
          <w:rStyle w:val="SubtleReference"/>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9C2204" w:rsidRPr="009C2204" w:rsidRDefault="009C2204" w:rsidP="009C2204">
      <w:pPr>
        <w:rPr>
          <w:rStyle w:val="SubtleReference"/>
          <w:b/>
          <w:sz w:val="22"/>
          <w:lang w:val="fr-CA"/>
        </w:rPr>
      </w:pPr>
      <w:r w:rsidRPr="009C2204">
        <w:rPr>
          <w:rStyle w:val="SubtleReference"/>
          <w:b/>
          <w:sz w:val="22"/>
          <w:lang w:val="fr-CA"/>
        </w:rPr>
        <w:t>REMARQUE : Le contenu ci-dessous peut avoir été modifié et ne plus représenter l’opinion ou le point de vue du Collège royal.</w:t>
      </w:r>
    </w:p>
    <w:p w:rsidR="009C2204" w:rsidRPr="009C2204" w:rsidRDefault="009C2204" w:rsidP="009C2204">
      <w:pPr>
        <w:pStyle w:val="Heading3"/>
        <w:rPr>
          <w:rFonts w:eastAsiaTheme="minorEastAsia"/>
          <w:color w:val="003A5B" w:themeColor="text2"/>
          <w:lang w:val="fr-CA" w:eastAsia="ja-JP"/>
        </w:rPr>
      </w:pPr>
      <w:r w:rsidRPr="009C2204">
        <w:rPr>
          <w:rFonts w:eastAsiaTheme="minorEastAsia"/>
          <w:color w:val="003A5B" w:themeColor="text2"/>
          <w:lang w:val="fr-CA" w:eastAsia="ja-JP"/>
        </w:rPr>
        <w:t>Cette</w:t>
      </w:r>
      <w:r w:rsidRPr="009C2204">
        <w:rPr>
          <w:rFonts w:eastAsiaTheme="minorEastAsia"/>
          <w:color w:val="003A5B" w:themeColor="text2"/>
          <w:spacing w:val="9"/>
          <w:lang w:val="fr-CA" w:eastAsia="ja-JP"/>
        </w:rPr>
        <w:t xml:space="preserve"> </w:t>
      </w:r>
      <w:r w:rsidRPr="009C2204">
        <w:rPr>
          <w:rFonts w:eastAsiaTheme="minorEastAsia"/>
          <w:color w:val="003A5B" w:themeColor="text2"/>
          <w:lang w:val="fr-CA" w:eastAsia="ja-JP"/>
        </w:rPr>
        <w:t>activité</w:t>
      </w:r>
      <w:r w:rsidRPr="009C2204">
        <w:rPr>
          <w:rFonts w:eastAsiaTheme="minorEastAsia"/>
          <w:color w:val="003A5B" w:themeColor="text2"/>
          <w:spacing w:val="12"/>
          <w:lang w:val="fr-CA" w:eastAsia="ja-JP"/>
        </w:rPr>
        <w:t xml:space="preserve"> </w:t>
      </w:r>
      <w:r w:rsidRPr="009C2204">
        <w:rPr>
          <w:rFonts w:eastAsiaTheme="minorEastAsia"/>
          <w:color w:val="003A5B" w:themeColor="text2"/>
          <w:spacing w:val="-2"/>
          <w:lang w:val="fr-CA" w:eastAsia="ja-JP"/>
        </w:rPr>
        <w:t>d</w:t>
      </w:r>
      <w:r w:rsidRPr="009C2204">
        <w:rPr>
          <w:rFonts w:eastAsiaTheme="minorEastAsia"/>
          <w:color w:val="003A5B" w:themeColor="text2"/>
          <w:lang w:val="fr-CA" w:eastAsia="ja-JP"/>
        </w:rPr>
        <w:t>’apprentissage comp</w:t>
      </w:r>
      <w:r w:rsidRPr="009C2204">
        <w:rPr>
          <w:rFonts w:eastAsiaTheme="minorEastAsia"/>
          <w:color w:val="003A5B" w:themeColor="text2"/>
          <w:spacing w:val="-4"/>
          <w:lang w:val="fr-CA" w:eastAsia="ja-JP"/>
        </w:rPr>
        <w:t>r</w:t>
      </w:r>
      <w:r w:rsidRPr="009C2204">
        <w:rPr>
          <w:rFonts w:eastAsiaTheme="minorEastAsia"/>
          <w:color w:val="003A5B" w:themeColor="text2"/>
          <w:lang w:val="fr-CA" w:eastAsia="ja-JP"/>
        </w:rPr>
        <w:t>end</w:t>
      </w:r>
      <w:r w:rsidRPr="009C2204">
        <w:rPr>
          <w:rFonts w:eastAsiaTheme="minorEastAsia"/>
          <w:color w:val="003A5B" w:themeColor="text2"/>
          <w:spacing w:val="16"/>
          <w:lang w:val="fr-CA" w:eastAsia="ja-JP"/>
        </w:rPr>
        <w:t xml:space="preserve"> </w:t>
      </w:r>
      <w:r w:rsidRPr="009C2204">
        <w:rPr>
          <w:rFonts w:eastAsiaTheme="minorEastAsia"/>
          <w:color w:val="003A5B" w:themeColor="text2"/>
          <w:w w:val="102"/>
          <w:lang w:val="fr-CA" w:eastAsia="ja-JP"/>
        </w:rPr>
        <w:t>:</w:t>
      </w:r>
    </w:p>
    <w:p w:rsidR="009C2204" w:rsidRPr="009C2204" w:rsidRDefault="009C2204" w:rsidP="009C2204">
      <w:pPr>
        <w:pStyle w:val="ListParagraph"/>
        <w:rPr>
          <w:lang w:val="fr-CA"/>
        </w:rPr>
      </w:pPr>
      <w:proofErr w:type="gramStart"/>
      <w:r w:rsidRPr="009C2204">
        <w:rPr>
          <w:lang w:val="fr-CA"/>
        </w:rPr>
        <w:t>la</w:t>
      </w:r>
      <w:proofErr w:type="gramEnd"/>
      <w:r w:rsidRPr="009C2204">
        <w:rPr>
          <w:lang w:val="fr-CA"/>
        </w:rPr>
        <w:t xml:space="preserve"> présentation « Enseigner le rôle d’expert médical » (E2);</w:t>
      </w:r>
    </w:p>
    <w:p w:rsidR="009C2204" w:rsidRPr="009C2204" w:rsidRDefault="009C2204" w:rsidP="009C2204">
      <w:pPr>
        <w:pStyle w:val="ListParagraph"/>
        <w:rPr>
          <w:lang w:val="fr-CA"/>
        </w:rPr>
      </w:pPr>
      <w:proofErr w:type="gramStart"/>
      <w:r w:rsidRPr="009C2204">
        <w:rPr>
          <w:lang w:val="fr-CA"/>
        </w:rPr>
        <w:t>la</w:t>
      </w:r>
      <w:proofErr w:type="gramEnd"/>
      <w:r w:rsidRPr="009C2204">
        <w:rPr>
          <w:lang w:val="fr-CA"/>
        </w:rPr>
        <w:t xml:space="preserve"> fiche de réflexion « Continuum de compétence du rôle d’expert médical dans la pratique de tous les jours » (E3)</w:t>
      </w:r>
    </w:p>
    <w:p w:rsidR="009C2204" w:rsidRPr="009C2204" w:rsidRDefault="009C2204" w:rsidP="009C2204">
      <w:pPr>
        <w:pStyle w:val="Heading3"/>
        <w:rPr>
          <w:rFonts w:eastAsiaTheme="minorEastAsia"/>
          <w:color w:val="003A5B" w:themeColor="text2"/>
          <w:lang w:val="fr-CA" w:eastAsia="ja-JP"/>
        </w:rPr>
      </w:pPr>
      <w:r w:rsidRPr="009C2204">
        <w:rPr>
          <w:rFonts w:eastAsiaTheme="minorEastAsia"/>
          <w:color w:val="003A5B" w:themeColor="text2"/>
          <w:spacing w:val="-2"/>
          <w:lang w:val="fr-CA" w:eastAsia="ja-JP"/>
        </w:rPr>
        <w:t>D</w:t>
      </w:r>
      <w:r w:rsidRPr="009C2204">
        <w:rPr>
          <w:rFonts w:eastAsiaTheme="minorEastAsia"/>
          <w:color w:val="003A5B" w:themeColor="text2"/>
          <w:lang w:val="fr-CA" w:eastAsia="ja-JP"/>
        </w:rPr>
        <w:t>i</w:t>
      </w:r>
      <w:r w:rsidRPr="009C2204">
        <w:rPr>
          <w:rFonts w:eastAsiaTheme="minorEastAsia"/>
          <w:color w:val="003A5B" w:themeColor="text2"/>
          <w:spacing w:val="-4"/>
          <w:lang w:val="fr-CA" w:eastAsia="ja-JP"/>
        </w:rPr>
        <w:t>r</w:t>
      </w:r>
      <w:r w:rsidRPr="009C2204">
        <w:rPr>
          <w:rFonts w:eastAsiaTheme="minorEastAsia"/>
          <w:color w:val="003A5B" w:themeColor="text2"/>
          <w:lang w:val="fr-CA" w:eastAsia="ja-JP"/>
        </w:rPr>
        <w:t>ecti</w:t>
      </w:r>
      <w:r w:rsidRPr="009C2204">
        <w:rPr>
          <w:rFonts w:eastAsiaTheme="minorEastAsia"/>
          <w:color w:val="003A5B" w:themeColor="text2"/>
          <w:spacing w:val="-6"/>
          <w:lang w:val="fr-CA" w:eastAsia="ja-JP"/>
        </w:rPr>
        <w:t>v</w:t>
      </w:r>
      <w:r w:rsidRPr="009C2204">
        <w:rPr>
          <w:rFonts w:eastAsiaTheme="minorEastAsia"/>
          <w:color w:val="003A5B" w:themeColor="text2"/>
          <w:lang w:val="fr-CA" w:eastAsia="ja-JP"/>
        </w:rPr>
        <w:t>es</w:t>
      </w:r>
      <w:r w:rsidRPr="009C2204">
        <w:rPr>
          <w:rFonts w:eastAsiaTheme="minorEastAsia"/>
          <w:color w:val="003A5B" w:themeColor="text2"/>
          <w:spacing w:val="16"/>
          <w:lang w:val="fr-CA" w:eastAsia="ja-JP"/>
        </w:rPr>
        <w:t xml:space="preserve"> </w:t>
      </w:r>
      <w:r w:rsidRPr="009C2204">
        <w:rPr>
          <w:rFonts w:eastAsiaTheme="minorEastAsia"/>
          <w:color w:val="003A5B" w:themeColor="text2"/>
          <w:lang w:val="fr-CA" w:eastAsia="ja-JP"/>
        </w:rPr>
        <w:t>à</w:t>
      </w:r>
      <w:r w:rsidRPr="009C2204">
        <w:rPr>
          <w:rFonts w:eastAsiaTheme="minorEastAsia"/>
          <w:color w:val="003A5B" w:themeColor="text2"/>
          <w:spacing w:val="3"/>
          <w:lang w:val="fr-CA" w:eastAsia="ja-JP"/>
        </w:rPr>
        <w:t xml:space="preserve"> </w:t>
      </w:r>
      <w:r w:rsidRPr="009C2204">
        <w:rPr>
          <w:rFonts w:eastAsiaTheme="minorEastAsia"/>
          <w:color w:val="003A5B" w:themeColor="text2"/>
          <w:spacing w:val="-1"/>
          <w:lang w:val="fr-CA" w:eastAsia="ja-JP"/>
        </w:rPr>
        <w:t>l</w:t>
      </w:r>
      <w:r w:rsidRPr="009C2204">
        <w:rPr>
          <w:rFonts w:eastAsiaTheme="minorEastAsia"/>
          <w:color w:val="003A5B" w:themeColor="text2"/>
          <w:lang w:val="fr-CA" w:eastAsia="ja-JP"/>
        </w:rPr>
        <w:t>’intention</w:t>
      </w:r>
      <w:r w:rsidRPr="009C2204">
        <w:rPr>
          <w:rFonts w:eastAsiaTheme="minorEastAsia"/>
          <w:color w:val="003A5B" w:themeColor="text2"/>
          <w:spacing w:val="17"/>
          <w:lang w:val="fr-CA" w:eastAsia="ja-JP"/>
        </w:rPr>
        <w:t xml:space="preserve"> </w:t>
      </w:r>
      <w:r w:rsidRPr="009C2204">
        <w:rPr>
          <w:rFonts w:eastAsiaTheme="minorEastAsia"/>
          <w:color w:val="003A5B" w:themeColor="text2"/>
          <w:lang w:val="fr-CA" w:eastAsia="ja-JP"/>
        </w:rPr>
        <w:t>de</w:t>
      </w:r>
      <w:r w:rsidRPr="009C2204">
        <w:rPr>
          <w:rFonts w:eastAsiaTheme="minorEastAsia"/>
          <w:color w:val="003A5B" w:themeColor="text2"/>
          <w:spacing w:val="4"/>
          <w:lang w:val="fr-CA" w:eastAsia="ja-JP"/>
        </w:rPr>
        <w:t xml:space="preserve"> </w:t>
      </w:r>
      <w:r w:rsidRPr="009C2204">
        <w:rPr>
          <w:rFonts w:eastAsiaTheme="minorEastAsia"/>
          <w:color w:val="003A5B" w:themeColor="text2"/>
          <w:spacing w:val="-1"/>
          <w:lang w:val="fr-CA" w:eastAsia="ja-JP"/>
        </w:rPr>
        <w:t>l</w:t>
      </w:r>
      <w:r w:rsidRPr="009C2204">
        <w:rPr>
          <w:rFonts w:eastAsiaTheme="minorEastAsia"/>
          <w:color w:val="003A5B" w:themeColor="text2"/>
          <w:lang w:val="fr-CA" w:eastAsia="ja-JP"/>
        </w:rPr>
        <w:t>’enseignant</w:t>
      </w:r>
      <w:r w:rsidRPr="009C2204">
        <w:rPr>
          <w:rFonts w:eastAsiaTheme="minorEastAsia"/>
          <w:color w:val="003A5B" w:themeColor="text2"/>
          <w:spacing w:val="19"/>
          <w:lang w:val="fr-CA" w:eastAsia="ja-JP"/>
        </w:rPr>
        <w:t xml:space="preserve"> </w:t>
      </w:r>
      <w:r w:rsidRPr="009C2204">
        <w:rPr>
          <w:rFonts w:eastAsiaTheme="minorEastAsia"/>
          <w:color w:val="003A5B" w:themeColor="text2"/>
          <w:w w:val="102"/>
          <w:lang w:val="fr-CA" w:eastAsia="ja-JP"/>
        </w:rPr>
        <w:t>:</w:t>
      </w:r>
    </w:p>
    <w:p w:rsidR="009C2204" w:rsidRPr="009C2204" w:rsidRDefault="009C2204" w:rsidP="009C2204">
      <w:pPr>
        <w:widowControl w:val="0"/>
        <w:autoSpaceDE w:val="0"/>
        <w:autoSpaceDN w:val="0"/>
        <w:adjustRightInd w:val="0"/>
        <w:ind w:right="-20"/>
        <w:rPr>
          <w:rStyle w:val="Emphasis"/>
          <w:lang w:val="fr-CA"/>
        </w:rPr>
      </w:pPr>
      <w:r w:rsidRPr="009C2204">
        <w:rPr>
          <w:rStyle w:val="Emphasis"/>
          <w:lang w:val="fr-CA"/>
        </w:rPr>
        <w:t>Exemples d’objectifs d’apprentissage</w:t>
      </w:r>
    </w:p>
    <w:p w:rsidR="009C2204" w:rsidRPr="009C2204" w:rsidRDefault="009C2204" w:rsidP="009C2204">
      <w:pPr>
        <w:pStyle w:val="ListParagraph"/>
        <w:numPr>
          <w:ilvl w:val="0"/>
          <w:numId w:val="19"/>
        </w:numPr>
        <w:rPr>
          <w:color w:val="595959" w:themeColor="text1" w:themeTint="A6"/>
          <w:lang w:val="fr-CA" w:eastAsia="ja-JP"/>
        </w:rPr>
      </w:pPr>
      <w:r w:rsidRPr="009C2204">
        <w:rPr>
          <w:color w:val="595959" w:themeColor="text1" w:themeTint="A6"/>
          <w:lang w:val="fr-CA" w:eastAsia="ja-JP"/>
        </w:rPr>
        <w:t>Reconnaître les termes courants relatifs aux activités et domaines d’intérêt liés au rôle d’expert médical</w:t>
      </w:r>
    </w:p>
    <w:p w:rsidR="009C2204" w:rsidRPr="009C2204" w:rsidRDefault="009C2204" w:rsidP="009C2204">
      <w:pPr>
        <w:pStyle w:val="ListParagraph"/>
        <w:numPr>
          <w:ilvl w:val="0"/>
          <w:numId w:val="19"/>
        </w:numPr>
        <w:rPr>
          <w:color w:val="595959" w:themeColor="text1" w:themeTint="A6"/>
          <w:lang w:val="fr-CA" w:eastAsia="ja-JP"/>
        </w:rPr>
      </w:pPr>
      <w:r w:rsidRPr="009C2204">
        <w:rPr>
          <w:color w:val="595959" w:themeColor="text1" w:themeTint="A6"/>
          <w:lang w:val="fr-CA" w:eastAsia="ja-JP"/>
        </w:rPr>
        <w:t>Décrire le rôle d’expert médical issu du référentiel CanMEDS 2015</w:t>
      </w:r>
    </w:p>
    <w:p w:rsidR="009C2204" w:rsidRPr="009C2204" w:rsidRDefault="009C2204" w:rsidP="009C2204">
      <w:pPr>
        <w:pStyle w:val="ListParagraph"/>
        <w:numPr>
          <w:ilvl w:val="0"/>
          <w:numId w:val="19"/>
        </w:numPr>
        <w:rPr>
          <w:color w:val="595959" w:themeColor="text1" w:themeTint="A6"/>
          <w:lang w:val="fr-CA" w:eastAsia="ja-JP"/>
        </w:rPr>
      </w:pPr>
      <w:r w:rsidRPr="009C2204">
        <w:rPr>
          <w:color w:val="595959" w:themeColor="text1" w:themeTint="A6"/>
          <w:lang w:val="fr-CA" w:eastAsia="ja-JP"/>
        </w:rPr>
        <w:t>Appliquer le continuum de compétence de l’expert médical dans un programme ou une spécialité</w:t>
      </w:r>
    </w:p>
    <w:p w:rsidR="009C2204" w:rsidRPr="009C2204" w:rsidRDefault="009C2204" w:rsidP="009C2204">
      <w:pPr>
        <w:pStyle w:val="ListParagraph"/>
        <w:numPr>
          <w:ilvl w:val="0"/>
          <w:numId w:val="19"/>
        </w:numPr>
        <w:rPr>
          <w:rFonts w:eastAsiaTheme="minorEastAsia" w:cs="Adobe Garamond Pro"/>
          <w:bCs/>
          <w:color w:val="595959" w:themeColor="text1" w:themeTint="A6"/>
          <w:spacing w:val="-3"/>
          <w:position w:val="1"/>
          <w:lang w:val="fr-CA" w:eastAsia="ja-JP"/>
        </w:rPr>
      </w:pPr>
      <w:r w:rsidRPr="009C2204">
        <w:rPr>
          <w:rFonts w:eastAsiaTheme="minorEastAsia" w:cs="Adobe Garamond Pro"/>
          <w:bCs/>
          <w:color w:val="595959" w:themeColor="text1" w:themeTint="A6"/>
          <w:spacing w:val="-3"/>
          <w:position w:val="1"/>
          <w:lang w:val="fr-CA" w:eastAsia="ja-JP"/>
        </w:rPr>
        <w:t>Cerner les occasions d’i</w:t>
      </w:r>
      <w:bookmarkStart w:id="0" w:name="_GoBack"/>
      <w:bookmarkEnd w:id="0"/>
      <w:r w:rsidRPr="009C2204">
        <w:rPr>
          <w:rFonts w:eastAsiaTheme="minorEastAsia" w:cs="Adobe Garamond Pro"/>
          <w:bCs/>
          <w:color w:val="595959" w:themeColor="text1" w:themeTint="A6"/>
          <w:spacing w:val="-3"/>
          <w:position w:val="1"/>
          <w:lang w:val="fr-CA" w:eastAsia="ja-JP"/>
        </w:rPr>
        <w:t>ntégrer les autres rôles CanMEDS dans l’enseignement et l’évaluation de l’expert médical</w:t>
      </w:r>
    </w:p>
    <w:p w:rsidR="009C2204" w:rsidRPr="009C2204" w:rsidRDefault="009C2204" w:rsidP="009C2204">
      <w:pPr>
        <w:widowControl w:val="0"/>
        <w:autoSpaceDE w:val="0"/>
        <w:autoSpaceDN w:val="0"/>
        <w:adjustRightInd w:val="0"/>
        <w:ind w:right="1440"/>
        <w:rPr>
          <w:rFonts w:eastAsiaTheme="minorEastAsia" w:cs="Adobe Garamond Pro"/>
          <w:color w:val="000000"/>
          <w:lang w:val="fr-CA" w:eastAsia="ja-JP"/>
        </w:rPr>
      </w:pPr>
      <w:r w:rsidRPr="009C2204">
        <w:rPr>
          <w:rFonts w:eastAsiaTheme="minorEastAsia" w:cs="Adobe Garamond Pro"/>
          <w:b/>
          <w:bCs/>
          <w:color w:val="231F20"/>
          <w:spacing w:val="-3"/>
          <w:position w:val="1"/>
          <w:lang w:val="fr-CA" w:eastAsia="ja-JP"/>
        </w:rPr>
        <w:t>A</w:t>
      </w:r>
      <w:r w:rsidRPr="009C2204">
        <w:rPr>
          <w:rFonts w:eastAsiaTheme="minorEastAsia" w:cs="Adobe Garamond Pro"/>
          <w:b/>
          <w:bCs/>
          <w:color w:val="231F20"/>
          <w:position w:val="1"/>
          <w:lang w:val="fr-CA" w:eastAsia="ja-JP"/>
        </w:rPr>
        <w:t>uditoi</w:t>
      </w:r>
      <w:r w:rsidRPr="009C2204">
        <w:rPr>
          <w:rFonts w:eastAsiaTheme="minorEastAsia" w:cs="Adobe Garamond Pro"/>
          <w:b/>
          <w:bCs/>
          <w:color w:val="231F20"/>
          <w:spacing w:val="-4"/>
          <w:position w:val="1"/>
          <w:lang w:val="fr-CA" w:eastAsia="ja-JP"/>
        </w:rPr>
        <w:t>r</w:t>
      </w:r>
      <w:r w:rsidRPr="009C2204">
        <w:rPr>
          <w:rFonts w:eastAsiaTheme="minorEastAsia" w:cs="Adobe Garamond Pro"/>
          <w:b/>
          <w:bCs/>
          <w:color w:val="231F20"/>
          <w:position w:val="1"/>
          <w:lang w:val="fr-CA" w:eastAsia="ja-JP"/>
        </w:rPr>
        <w:t>e</w:t>
      </w:r>
      <w:r w:rsidRPr="009C2204">
        <w:rPr>
          <w:rFonts w:eastAsiaTheme="minorEastAsia" w:cs="Adobe Garamond Pro"/>
          <w:b/>
          <w:bCs/>
          <w:color w:val="231F20"/>
          <w:spacing w:val="15"/>
          <w:position w:val="1"/>
          <w:lang w:val="fr-CA" w:eastAsia="ja-JP"/>
        </w:rPr>
        <w:t xml:space="preserve"> </w:t>
      </w:r>
      <w:r w:rsidRPr="009C2204">
        <w:rPr>
          <w:rFonts w:eastAsiaTheme="minorEastAsia" w:cs="Adobe Garamond Pro"/>
          <w:b/>
          <w:bCs/>
          <w:color w:val="231F20"/>
          <w:position w:val="1"/>
          <w:lang w:val="fr-CA" w:eastAsia="ja-JP"/>
        </w:rPr>
        <w:t>:</w:t>
      </w:r>
      <w:r w:rsidRPr="009C2204">
        <w:rPr>
          <w:rFonts w:eastAsiaTheme="minorEastAsia" w:cs="Adobe Garamond Pro"/>
          <w:b/>
          <w:bCs/>
          <w:color w:val="231F20"/>
          <w:spacing w:val="4"/>
          <w:position w:val="1"/>
          <w:lang w:val="fr-CA" w:eastAsia="ja-JP"/>
        </w:rPr>
        <w:t xml:space="preserve"> </w:t>
      </w:r>
      <w:r w:rsidRPr="009C2204">
        <w:rPr>
          <w:rFonts w:eastAsiaTheme="minorEastAsia" w:cs="Adobe Garamond Pro"/>
          <w:color w:val="231F20"/>
          <w:position w:val="1"/>
          <w:lang w:val="fr-CA" w:eastAsia="ja-JP"/>
        </w:rPr>
        <w:t>tous</w:t>
      </w:r>
      <w:r w:rsidRPr="009C2204">
        <w:rPr>
          <w:rFonts w:eastAsiaTheme="minorEastAsia" w:cs="Adobe Garamond Pro"/>
          <w:color w:val="231F20"/>
          <w:spacing w:val="7"/>
          <w:position w:val="1"/>
          <w:lang w:val="fr-CA" w:eastAsia="ja-JP"/>
        </w:rPr>
        <w:t xml:space="preserve"> </w:t>
      </w:r>
      <w:r w:rsidRPr="009C2204">
        <w:rPr>
          <w:rFonts w:eastAsiaTheme="minorEastAsia" w:cs="Adobe Garamond Pro"/>
          <w:color w:val="231F20"/>
          <w:position w:val="1"/>
          <w:lang w:val="fr-CA" w:eastAsia="ja-JP"/>
        </w:rPr>
        <w:t>les</w:t>
      </w:r>
      <w:r w:rsidRPr="009C2204">
        <w:rPr>
          <w:rFonts w:eastAsiaTheme="minorEastAsia" w:cs="Adobe Garamond Pro"/>
          <w:color w:val="231F20"/>
          <w:spacing w:val="4"/>
          <w:position w:val="1"/>
          <w:lang w:val="fr-CA" w:eastAsia="ja-JP"/>
        </w:rPr>
        <w:t xml:space="preserve"> </w:t>
      </w:r>
      <w:r w:rsidRPr="009C2204">
        <w:rPr>
          <w:rFonts w:eastAsiaTheme="minorEastAsia" w:cs="Adobe Garamond Pro"/>
          <w:color w:val="231F20"/>
          <w:w w:val="102"/>
          <w:position w:val="1"/>
          <w:lang w:val="fr-CA" w:eastAsia="ja-JP"/>
        </w:rPr>
        <w:t>app</w:t>
      </w:r>
      <w:r w:rsidRPr="009C2204">
        <w:rPr>
          <w:rFonts w:eastAsiaTheme="minorEastAsia" w:cs="Adobe Garamond Pro"/>
          <w:color w:val="231F20"/>
          <w:spacing w:val="-2"/>
          <w:w w:val="102"/>
          <w:position w:val="1"/>
          <w:lang w:val="fr-CA" w:eastAsia="ja-JP"/>
        </w:rPr>
        <w:t>r</w:t>
      </w:r>
      <w:r w:rsidRPr="009C2204">
        <w:rPr>
          <w:rFonts w:eastAsiaTheme="minorEastAsia" w:cs="Adobe Garamond Pro"/>
          <w:color w:val="231F20"/>
          <w:w w:val="102"/>
          <w:position w:val="1"/>
          <w:lang w:val="fr-CA" w:eastAsia="ja-JP"/>
        </w:rPr>
        <w:t>enants</w:t>
      </w:r>
    </w:p>
    <w:p w:rsidR="009C2204" w:rsidRPr="009C2204" w:rsidRDefault="009C2204" w:rsidP="009C2204">
      <w:pPr>
        <w:pStyle w:val="Heading3"/>
        <w:rPr>
          <w:color w:val="003A5B" w:themeColor="text2"/>
          <w:lang w:val="fr-CA"/>
        </w:rPr>
      </w:pPr>
      <w:r w:rsidRPr="009C2204">
        <w:rPr>
          <w:color w:val="003A5B" w:themeColor="text2"/>
          <w:lang w:val="fr-CA"/>
        </w:rPr>
        <w:t xml:space="preserve">Comment adapter cet outil </w:t>
      </w:r>
    </w:p>
    <w:p w:rsidR="009C2204" w:rsidRPr="009C2204" w:rsidRDefault="009C2204" w:rsidP="009C2204">
      <w:pPr>
        <w:pStyle w:val="ListParagraph"/>
        <w:rPr>
          <w:lang w:val="fr-CA"/>
        </w:rPr>
      </w:pPr>
      <w:r w:rsidRPr="009C2204">
        <w:rPr>
          <w:lang w:val="fr-CA"/>
        </w:rPr>
        <w:t>Déterminer si les besoins et objectifs du programme correspondent à ceux présentés dans le diaporama. Choisir les contenus à conserver ou à modifier ou ceux à ajouter, selon les besoins.</w:t>
      </w:r>
    </w:p>
    <w:p w:rsidR="009C2204" w:rsidRPr="009C2204" w:rsidRDefault="009C2204" w:rsidP="009C2204">
      <w:pPr>
        <w:pStyle w:val="ListParagraph"/>
        <w:rPr>
          <w:lang w:val="fr-CA"/>
        </w:rPr>
      </w:pPr>
      <w:r w:rsidRPr="009C2204">
        <w:rPr>
          <w:lang w:val="fr-CA"/>
        </w:rPr>
        <w:lastRenderedPageBreak/>
        <w:t xml:space="preserve">La présentation PowerPoint et les fiches connexes se veulent génériques et axées sur les fondements. Déterminer s’il serait nécessaire d’ajouter des diapositives afin d’atteindre les objectifs voulus. On peut modifier, ajouter ou supprimer des questions tel que requis, et intégrer de l’information </w:t>
      </w:r>
      <w:proofErr w:type="spellStart"/>
      <w:r w:rsidRPr="009C2204">
        <w:rPr>
          <w:lang w:val="fr-CA"/>
        </w:rPr>
        <w:t>proper</w:t>
      </w:r>
      <w:proofErr w:type="spellEnd"/>
      <w:r w:rsidRPr="009C2204">
        <w:rPr>
          <w:lang w:val="fr-CA"/>
        </w:rPr>
        <w:t xml:space="preserve"> à la discipline, au contexte, etc.</w:t>
      </w:r>
    </w:p>
    <w:p w:rsidR="009C2204" w:rsidRPr="009C2204" w:rsidRDefault="009C2204" w:rsidP="009C2204">
      <w:pPr>
        <w:pStyle w:val="Heading3"/>
        <w:rPr>
          <w:color w:val="003A5B" w:themeColor="text2"/>
          <w:lang w:val="fr-CA"/>
        </w:rPr>
      </w:pPr>
      <w:r w:rsidRPr="009C2204">
        <w:rPr>
          <w:color w:val="003A5B" w:themeColor="text2"/>
          <w:lang w:val="fr-CA"/>
        </w:rPr>
        <w:t xml:space="preserve">Logistique : </w:t>
      </w:r>
    </w:p>
    <w:p w:rsidR="009C2204" w:rsidRPr="009C2204" w:rsidRDefault="009C2204" w:rsidP="009C2204">
      <w:pPr>
        <w:pStyle w:val="ListParagraph"/>
        <w:rPr>
          <w:lang w:val="fr-CA" w:eastAsia="ja-JP"/>
        </w:rPr>
      </w:pPr>
      <w:r w:rsidRPr="009C2204">
        <w:rPr>
          <w:lang w:val="fr-CA" w:eastAsia="ja-JP"/>
        </w:rPr>
        <w:t>Prévoir environ 20 minutes pour chaque fiche ou activité de groupe : cela permettra à l’éducateur d’expliquer l’activité, et aux apprenants de remplir leur fiche individuellement, de présenter leurs réponses en petits groupes, d’en discuter, de se préparer à présenter le travail de l’équipe, et de faire leur présentation à tout le groupe.</w:t>
      </w:r>
    </w:p>
    <w:p w:rsidR="009C2204" w:rsidRPr="009C2204" w:rsidRDefault="009C2204" w:rsidP="009C2204">
      <w:pPr>
        <w:pStyle w:val="ListParagraph"/>
        <w:rPr>
          <w:lang w:val="fr-CA" w:eastAsia="ja-JP"/>
        </w:rPr>
      </w:pPr>
      <w:r w:rsidRPr="009C2204">
        <w:rPr>
          <w:lang w:val="fr-CA" w:eastAsia="ja-JP"/>
        </w:rPr>
        <w:t>Selon la taille du groupe et le temps alloué, on peut demander aux apprenants de remplir une ou plusieurs fiches en devoir et de les ramener à la prochaine séance, ou de les remplir après l’activité en guise de devoir de suivi.</w:t>
      </w:r>
    </w:p>
    <w:p w:rsidR="009C2204" w:rsidRPr="009C2204" w:rsidRDefault="009C2204" w:rsidP="009C2204">
      <w:pPr>
        <w:pStyle w:val="ListParagraph"/>
        <w:rPr>
          <w:lang w:val="fr-CA" w:eastAsia="ja-JP"/>
        </w:rPr>
      </w:pPr>
      <w:r w:rsidRPr="009C2204">
        <w:rPr>
          <w:lang w:val="fr-CA" w:eastAsia="ja-JP"/>
        </w:rPr>
        <w:t xml:space="preserve">Selon la taille du groupe et le temps alloué, on peut aussi proposer d’explorer les exigences de la formation spécialisée, ou de travailler à l’application des conseils d’enseignement ou d’évaluation dans le programme ou la spécialité. Se reporter au site du Collège royal pour consulter les exigences de formation : </w:t>
      </w:r>
      <w:hyperlink r:id="rId11" w:history="1">
        <w:r w:rsidRPr="009C2204">
          <w:rPr>
            <w:rStyle w:val="Hyperlink"/>
            <w:rFonts w:eastAsiaTheme="minorEastAsia" w:cs="Adobe Garamond Pro"/>
            <w:position w:val="1"/>
            <w:lang w:val="fr-CA" w:eastAsia="ja-JP"/>
          </w:rPr>
          <w:t>http://www.collegeroyal.ca/portal/page/portal/rc/credentials/specialty_information</w:t>
        </w:r>
      </w:hyperlink>
      <w:r w:rsidRPr="009C2204">
        <w:rPr>
          <w:lang w:val="fr-CA" w:eastAsia="ja-JP"/>
        </w:rPr>
        <w:t xml:space="preserve"> </w:t>
      </w:r>
    </w:p>
    <w:p w:rsidR="009C2204" w:rsidRPr="009C2204" w:rsidRDefault="009C2204" w:rsidP="009C2204">
      <w:pPr>
        <w:pStyle w:val="Heading3"/>
        <w:rPr>
          <w:color w:val="003A5B" w:themeColor="text2"/>
          <w:lang w:val="fr-CA"/>
        </w:rPr>
      </w:pPr>
      <w:r w:rsidRPr="009C2204">
        <w:rPr>
          <w:color w:val="003A5B" w:themeColor="text2"/>
          <w:lang w:val="fr-CA"/>
        </w:rPr>
        <w:t xml:space="preserve">Contexte : </w:t>
      </w:r>
    </w:p>
    <w:p w:rsidR="009C2204" w:rsidRPr="009C2204" w:rsidRDefault="009C2204" w:rsidP="009C2204">
      <w:pPr>
        <w:pStyle w:val="ListParagraph"/>
        <w:rPr>
          <w:lang w:val="fr-CA"/>
        </w:rPr>
      </w:pPr>
      <w:r w:rsidRPr="009C2204">
        <w:rPr>
          <w:lang w:val="fr-CA"/>
        </w:rPr>
        <w:t xml:space="preserve">Il est conseillé de réaliser cette activité en petits </w:t>
      </w:r>
      <w:proofErr w:type="spellStart"/>
      <w:r w:rsidRPr="009C2204">
        <w:rPr>
          <w:lang w:val="fr-CA"/>
        </w:rPr>
        <w:t>groups</w:t>
      </w:r>
      <w:proofErr w:type="spellEnd"/>
      <w:r w:rsidRPr="009C2204">
        <w:rPr>
          <w:lang w:val="fr-CA"/>
        </w:rPr>
        <w:t xml:space="preserve"> (moins de 30 apprenants). Elle peut aussi être réalisée avec un grand groupe si l’espace permet aux apprenants de se regrouper à des tables de cinq ou six. En présence d’un grand groupe, il est préférable de prévoir des éducateurs ou animateurs additionnels qui pourront répondre aux questions que pourraient avoir les apprenants.</w:t>
      </w:r>
    </w:p>
    <w:p w:rsidR="00322403" w:rsidRPr="009C2204" w:rsidRDefault="00322403" w:rsidP="009C2204">
      <w:pPr>
        <w:rPr>
          <w:lang w:val="fr-CA"/>
        </w:rPr>
      </w:pPr>
    </w:p>
    <w:sectPr w:rsidR="00322403" w:rsidRPr="009C2204" w:rsidSect="009C2204">
      <w:footerReference w:type="default" r:id="rId12"/>
      <w:headerReference w:type="first" r:id="rId13"/>
      <w:footerReference w:type="first" r:id="rId14"/>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dobe Garamond Pro Bold">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9C2204"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3296448</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48BA2" id="Rectangle 3" o:spid="_x0000_s1026" style="position:absolute;margin-left:259.5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" fillcolor="#00a3ad" stroked="f" strokeweight="1pt"/>
          </w:pict>
        </mc:Fallback>
      </mc:AlternateContent>
    </w:r>
    <w:r w:rsidR="002802DD" w:rsidRPr="00813420">
      <w:rPr>
        <w:b/>
        <w:sz w:val="18"/>
        <w:szCs w:val="18"/>
      </w:rPr>
      <w:fldChar w:fldCharType="begin"/>
    </w:r>
    <w:r w:rsidR="002802DD" w:rsidRPr="009C2204">
      <w:rPr>
        <w:b/>
        <w:sz w:val="18"/>
        <w:szCs w:val="18"/>
        <w:lang w:val="fr-CA"/>
      </w:rPr>
      <w:instrText xml:space="preserve"> PAGE   \* MERGEFORMAT </w:instrText>
    </w:r>
    <w:r w:rsidR="002802DD" w:rsidRPr="00813420">
      <w:rPr>
        <w:b/>
        <w:sz w:val="18"/>
        <w:szCs w:val="18"/>
      </w:rPr>
      <w:fldChar w:fldCharType="separate"/>
    </w:r>
    <w:r w:rsidR="00FB077A" w:rsidRPr="009C2204">
      <w:rPr>
        <w:b/>
        <w:noProof/>
        <w:sz w:val="18"/>
        <w:szCs w:val="18"/>
        <w:lang w:val="fr-CA"/>
      </w:rPr>
      <w:t>5</w:t>
    </w:r>
    <w:r w:rsidR="002802DD" w:rsidRPr="00813420">
      <w:rPr>
        <w:b/>
        <w:noProof/>
        <w:sz w:val="18"/>
        <w:szCs w:val="18"/>
      </w:rPr>
      <w:fldChar w:fldCharType="end"/>
    </w:r>
    <w:r w:rsidR="00CF104E" w:rsidRPr="009C2204">
      <w:rPr>
        <w:b/>
        <w:noProof/>
        <w:sz w:val="18"/>
        <w:szCs w:val="18"/>
        <w:lang w:val="fr-CA"/>
      </w:rPr>
      <w:br/>
    </w:r>
  </w:p>
  <w:p w:rsidR="002802DD" w:rsidRPr="009C2204" w:rsidRDefault="009C2204" w:rsidP="009C2204">
    <w:pPr>
      <w:pStyle w:val="BasicParagraph"/>
      <w:jc w:val="center"/>
      <w:rPr>
        <w:color w:val="7F7F7F"/>
        <w:lang w:val="fr-CA"/>
      </w:rPr>
    </w:pPr>
    <w:r w:rsidRPr="009C2204">
      <w:rPr>
        <w:rFonts w:ascii="Open Sans" w:hAnsi="Open Sans" w:cs="Open Sans"/>
        <w:color w:val="7F7F7F"/>
        <w:sz w:val="14"/>
        <w:szCs w:val="14"/>
        <w:lang w:val="fr-CA"/>
      </w:rPr>
      <w:t xml:space="preserve">Outils d’enseignement 1 – </w:t>
    </w:r>
    <w:r w:rsidRPr="009C2204">
      <w:rPr>
        <w:rFonts w:ascii="Open Sans" w:hAnsi="Open Sans" w:cs="Open Sans"/>
        <w:color w:val="003A5B" w:themeColor="text2"/>
        <w:sz w:val="14"/>
        <w:szCs w:val="14"/>
        <w:lang w:val="fr-CA"/>
      </w:rPr>
      <w:t>COURS MAGISTRAL OU PRÉSENTATION EN GRAND GROUPE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00004CC"/>
    <w:multiLevelType w:val="hybridMultilevel"/>
    <w:tmpl w:val="5D98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7E5E8A"/>
    <w:multiLevelType w:val="hybridMultilevel"/>
    <w:tmpl w:val="1BD2A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1B45844"/>
    <w:multiLevelType w:val="hybridMultilevel"/>
    <w:tmpl w:val="CC021428"/>
    <w:lvl w:ilvl="0" w:tplc="C12077A2">
      <w:numFmt w:val="bullet"/>
      <w:lvlText w:val="•"/>
      <w:lvlJc w:val="left"/>
      <w:pPr>
        <w:ind w:left="1520" w:hanging="440"/>
      </w:pPr>
      <w:rPr>
        <w:rFonts w:ascii="Verdana" w:eastAsiaTheme="minorEastAsia" w:hAnsi="Verdana" w:cs="Adobe Garamond Pro" w:hint="default"/>
        <w:color w:val="231F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55490E"/>
    <w:multiLevelType w:val="hybridMultilevel"/>
    <w:tmpl w:val="D31EA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61682A"/>
    <w:multiLevelType w:val="hybridMultilevel"/>
    <w:tmpl w:val="E30E5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066E25"/>
    <w:multiLevelType w:val="hybridMultilevel"/>
    <w:tmpl w:val="A0D45EE8"/>
    <w:lvl w:ilvl="0" w:tplc="0409000F">
      <w:start w:val="1"/>
      <w:numFmt w:val="decimal"/>
      <w:lvlText w:val="%1."/>
      <w:lvlJc w:val="left"/>
      <w:pPr>
        <w:ind w:left="360" w:hanging="360"/>
      </w:pPr>
      <w:rPr>
        <w:rFonts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6"/>
  </w:num>
  <w:num w:numId="16">
    <w:abstractNumId w:val="13"/>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6C2926"/>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C2204"/>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AC586"/>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9C2204"/>
    <w:rPr>
      <w:smallCaps/>
      <w:color w:val="5A5A5A" w:themeColor="text1" w:themeTint="A5"/>
    </w:rPr>
  </w:style>
  <w:style w:type="paragraph" w:customStyle="1" w:styleId="Default">
    <w:name w:val="Default"/>
    <w:rsid w:val="009C2204"/>
    <w:pPr>
      <w:widowControl w:val="0"/>
      <w:autoSpaceDE w:val="0"/>
      <w:autoSpaceDN w:val="0"/>
      <w:adjustRightInd w:val="0"/>
    </w:pPr>
    <w:rPr>
      <w:rFonts w:ascii="Adobe Garamond Pro Bold" w:eastAsiaTheme="minorEastAsia" w:hAnsi="Adobe Garamond Pro Bold" w:cs="Adobe Garamond Pro Bold"/>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royal.ca/portal/page/portal/rc/credentials/specialty_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f3c17827-2a44-4186-817e-0d9f5805cdb5"/>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F77A8AC3-F3E1-4A0E-BEEA-1ED20241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2021-11-17T20:07:00Z</dcterms:created>
  <dcterms:modified xsi:type="dcterms:W3CDTF">2021-11-18T16:40:00Z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