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AEF" w:rsidRPr="000635D5" w:rsidRDefault="008225BE" w:rsidP="006A4987">
      <w:pPr>
        <w:pStyle w:val="Heading1"/>
        <w:rPr>
          <w:lang w:val="fr-CA"/>
        </w:rPr>
      </w:pPr>
      <w:r w:rsidRPr="000635D5">
        <w:rPr>
          <w:lang w:val="fr-CA"/>
        </w:rPr>
        <w:t>Outils d’</w:t>
      </w:r>
      <w:proofErr w:type="spellStart"/>
      <w:r w:rsidRPr="000635D5">
        <w:rPr>
          <w:lang w:val="fr-CA"/>
        </w:rPr>
        <w:t>evaluation</w:t>
      </w:r>
      <w:proofErr w:type="spellEnd"/>
      <w:r w:rsidR="00066F69">
        <w:rPr>
          <w:lang w:val="fr-CA"/>
        </w:rPr>
        <w:t xml:space="preserve"> 1</w:t>
      </w:r>
      <w:r w:rsidR="00E27AEF" w:rsidRPr="000635D5">
        <w:rPr>
          <w:lang w:val="fr-CA"/>
        </w:rPr>
        <w:t xml:space="preserve"> – </w:t>
      </w:r>
    </w:p>
    <w:p w:rsidR="002B03F8" w:rsidRPr="000635D5" w:rsidRDefault="008225BE" w:rsidP="00E27AEF">
      <w:pPr>
        <w:pStyle w:val="Heading1"/>
        <w:spacing w:after="0"/>
        <w:rPr>
          <w:b/>
          <w:lang w:val="fr-CA"/>
        </w:rPr>
      </w:pPr>
      <w:r w:rsidRPr="000635D5">
        <w:rPr>
          <w:lang w:val="fr-CA"/>
        </w:rPr>
        <w:t xml:space="preserve">Rétroaction </w:t>
      </w:r>
      <w:proofErr w:type="spellStart"/>
      <w:r w:rsidRPr="000635D5">
        <w:rPr>
          <w:lang w:val="fr-CA"/>
        </w:rPr>
        <w:t>multisources</w:t>
      </w:r>
      <w:proofErr w:type="spellEnd"/>
    </w:p>
    <w:p w:rsidR="002B03F8" w:rsidRPr="008225BE" w:rsidRDefault="00E27AEF" w:rsidP="00E27AEF">
      <w:pPr>
        <w:pStyle w:val="Subtitle"/>
        <w:spacing w:before="240" w:after="0"/>
        <w:rPr>
          <w:lang w:val="fr-CA"/>
        </w:rPr>
      </w:pPr>
      <w:r w:rsidRPr="008225BE">
        <w:rPr>
          <w:lang w:val="fr-CA"/>
        </w:rPr>
        <w:t xml:space="preserve">CanMEDS </w:t>
      </w:r>
      <w:r w:rsidR="008225BE" w:rsidRPr="008225BE">
        <w:rPr>
          <w:lang w:val="fr-CA"/>
        </w:rPr>
        <w:t>-</w:t>
      </w:r>
      <w:r w:rsidRPr="008225BE">
        <w:rPr>
          <w:lang w:val="fr-CA"/>
        </w:rPr>
        <w:t xml:space="preserve"> </w:t>
      </w:r>
      <w:r w:rsidR="008225BE" w:rsidRPr="008225BE">
        <w:rPr>
          <w:lang w:val="fr-CA"/>
        </w:rPr>
        <w:t>Promoteur de la santé</w:t>
      </w:r>
    </w:p>
    <w:p w:rsidR="00E27AEF" w:rsidRPr="008225BE" w:rsidRDefault="008225BE" w:rsidP="00E27AEF">
      <w:pPr>
        <w:pStyle w:val="Heading2"/>
        <w:rPr>
          <w:lang w:val="fr-CA"/>
        </w:rPr>
      </w:pPr>
      <w:r w:rsidRPr="008225BE">
        <w:rPr>
          <w:lang w:val="fr-CA"/>
        </w:rPr>
        <w:t xml:space="preserve">Rétroaction </w:t>
      </w:r>
      <w:proofErr w:type="spellStart"/>
      <w:r w:rsidRPr="008225BE">
        <w:rPr>
          <w:lang w:val="fr-CA"/>
        </w:rPr>
        <w:t>multisources</w:t>
      </w:r>
      <w:proofErr w:type="spellEnd"/>
      <w:r w:rsidRPr="008225BE">
        <w:rPr>
          <w:lang w:val="fr-CA"/>
        </w:rPr>
        <w:t xml:space="preserve"> sur le rôle de promoteur de la santé</w:t>
      </w:r>
    </w:p>
    <w:p w:rsidR="00E27AEF" w:rsidRPr="008225BE" w:rsidRDefault="008225BE" w:rsidP="00E27AEF">
      <w:pPr>
        <w:rPr>
          <w:rStyle w:val="SubtleReference"/>
          <w:iCs/>
          <w:sz w:val="22"/>
          <w:lang w:val="fr-CA"/>
        </w:rPr>
      </w:pPr>
      <w:r w:rsidRPr="008225BE">
        <w:rPr>
          <w:iCs/>
          <w:smallCaps/>
          <w:color w:val="5A5A5A" w:themeColor="text1" w:themeTint="A5"/>
          <w:sz w:val="22"/>
          <w:lang w:val="fr-CA"/>
        </w:rPr>
        <w:t xml:space="preserve">Le contenu ci-dessous, rédigé par S. Glover Takahashi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8225BE" w:rsidRPr="008225BE" w:rsidRDefault="008225BE" w:rsidP="008225BE">
      <w:pPr>
        <w:rPr>
          <w:b/>
          <w:iCs/>
          <w:smallCaps/>
          <w:color w:val="5A5A5A" w:themeColor="text1" w:themeTint="A5"/>
          <w:sz w:val="22"/>
          <w:lang w:val="fr-CA"/>
        </w:rPr>
      </w:pPr>
      <w:r w:rsidRPr="008225BE">
        <w:rPr>
          <w:b/>
          <w:iCs/>
          <w:smallCaps/>
          <w:color w:val="5A5A5A" w:themeColor="text1" w:themeTint="A5"/>
          <w:sz w:val="22"/>
          <w:lang w:val="fr-CA"/>
        </w:rPr>
        <w:t>REMARQUE : Le contenu ci-dessous peut avoir été modifié et ne plus représenter l’opinion ou le point de vue du Collège royal.</w:t>
      </w:r>
    </w:p>
    <w:p w:rsidR="00E27AEF" w:rsidRPr="008225BE" w:rsidRDefault="008225BE" w:rsidP="008E7B03">
      <w:pPr>
        <w:pStyle w:val="Heading3"/>
        <w:rPr>
          <w:color w:val="003A5B" w:themeColor="text2"/>
          <w:lang w:val="fr-CA"/>
        </w:rPr>
      </w:pPr>
      <w:r w:rsidRPr="008225BE">
        <w:rPr>
          <w:color w:val="003A5B" w:themeColor="text2"/>
          <w:lang w:val="fr-CA"/>
        </w:rPr>
        <w:t>Directives à l’intention de l’évaluateur :</w:t>
      </w:r>
    </w:p>
    <w:p w:rsidR="00E27AEF" w:rsidRPr="008225BE" w:rsidRDefault="008225BE" w:rsidP="008225BE">
      <w:pPr>
        <w:pStyle w:val="ListParagraph"/>
        <w:rPr>
          <w:lang w:val="fr-CA"/>
        </w:rPr>
      </w:pPr>
      <w:r w:rsidRPr="008225BE">
        <w:rPr>
          <w:lang w:val="fr-CA"/>
        </w:rPr>
        <w:t xml:space="preserve">En tant que promoteurs de la santé, les médecins mettent à profit leur expertise et leur influence en </w:t>
      </w:r>
      <w:proofErr w:type="spellStart"/>
      <w:r w:rsidRPr="008225BE">
        <w:rPr>
          <w:lang w:val="fr-CA"/>
        </w:rPr>
        <w:t>oeuvrant</w:t>
      </w:r>
      <w:proofErr w:type="spellEnd"/>
      <w:r w:rsidRPr="008225BE">
        <w:rPr>
          <w:lang w:val="fr-CA"/>
        </w:rPr>
        <w:t xml:space="preserve"> avec des collectivités ou des populations de patients en vue d’améliorer la santé. Ils collaborent avec ceux qu’ils soignent afin de définir et comprendre leurs besoins, parlent en leur nom lorsque nécessaire, et soutiennent la mobilisation des ressources afin de favoriser le changement.</w:t>
      </w:r>
    </w:p>
    <w:p w:rsidR="00E27AEF" w:rsidRPr="008225BE" w:rsidRDefault="008225BE" w:rsidP="008225BE">
      <w:pPr>
        <w:pStyle w:val="ListParagraph"/>
        <w:rPr>
          <w:lang w:val="fr-CA"/>
        </w:rPr>
      </w:pPr>
      <w:r w:rsidRPr="008225BE">
        <w:rPr>
          <w:lang w:val="fr-CA"/>
        </w:rPr>
        <w:t>Les compétences du promoteur de la santé peuvent s’acquérir par la pratique et la rétroaction. Au moyen du formulaire ci-dessous, aidez l’apprenant à mieux comprendre son niveau d’expertise en lui offrant de la rétroaction pertinente et confidentielle.</w:t>
      </w:r>
    </w:p>
    <w:p w:rsidR="00E27AEF" w:rsidRPr="008225BE" w:rsidRDefault="008225BE" w:rsidP="008225BE">
      <w:pPr>
        <w:pStyle w:val="ListParagraph"/>
        <w:rPr>
          <w:lang w:val="fr-CA"/>
        </w:rPr>
      </w:pPr>
      <w:r w:rsidRPr="008225BE">
        <w:rPr>
          <w:lang w:val="fr-CA"/>
        </w:rPr>
        <w:t>Soyez assurés que cette information sera transmise sous forme agrégée, afin d’aider le résident à améliorer ses compétences.</w:t>
      </w:r>
    </w:p>
    <w:p w:rsidR="008225BE" w:rsidRDefault="008225BE" w:rsidP="008225BE">
      <w:pPr>
        <w:pStyle w:val="ListParagraph"/>
        <w:rPr>
          <w:lang w:val="fr-CA"/>
        </w:rPr>
      </w:pPr>
      <w:r w:rsidRPr="008225BE">
        <w:rPr>
          <w:lang w:val="fr-CA"/>
        </w:rPr>
        <w:t xml:space="preserve">Veuillez remettre ce formulaire dans une enveloppe scellée, avec la mention </w:t>
      </w:r>
      <w:r w:rsidRPr="008225BE">
        <w:rPr>
          <w:lang w:val="fr-CA"/>
        </w:rPr>
        <w:br/>
        <w:t xml:space="preserve">« confidentiel », </w:t>
      </w:r>
      <w:proofErr w:type="gramStart"/>
      <w:r w:rsidRPr="008225BE">
        <w:rPr>
          <w:lang w:val="fr-CA"/>
        </w:rPr>
        <w:t>à:_</w:t>
      </w:r>
      <w:proofErr w:type="gramEnd"/>
      <w:r w:rsidRPr="008225BE">
        <w:rPr>
          <w:lang w:val="fr-CA"/>
        </w:rPr>
        <w:t>________________.</w:t>
      </w:r>
    </w:p>
    <w:p w:rsidR="00CB3156" w:rsidRDefault="00CB3156" w:rsidP="00CB3156">
      <w:pPr>
        <w:rPr>
          <w:lang w:val="fr-CA"/>
        </w:rPr>
      </w:pPr>
    </w:p>
    <w:p w:rsidR="00CB3156" w:rsidRDefault="00CB3156" w:rsidP="00CB3156">
      <w:pPr>
        <w:rPr>
          <w:lang w:val="fr-CA"/>
        </w:rPr>
      </w:pPr>
    </w:p>
    <w:p w:rsidR="00CB3156" w:rsidRDefault="00CB3156" w:rsidP="00CB3156">
      <w:pPr>
        <w:rPr>
          <w:lang w:val="fr-CA"/>
        </w:rPr>
      </w:pPr>
    </w:p>
    <w:p w:rsidR="00CB3156" w:rsidRDefault="00CB3156" w:rsidP="00CB3156">
      <w:pPr>
        <w:rPr>
          <w:lang w:val="fr-CA"/>
        </w:rPr>
      </w:pPr>
    </w:p>
    <w:p w:rsidR="00CB3156" w:rsidRDefault="00CB3156" w:rsidP="00CB3156">
      <w:pPr>
        <w:rPr>
          <w:lang w:val="fr-CA"/>
        </w:rPr>
      </w:pPr>
    </w:p>
    <w:p w:rsidR="00CB3156" w:rsidRPr="00CB3156" w:rsidRDefault="00CB3156" w:rsidP="00CB3156">
      <w:pPr>
        <w:rPr>
          <w:lang w:val="fr-CA"/>
        </w:rPr>
      </w:pPr>
    </w:p>
    <w:p w:rsidR="00E27AEF" w:rsidRPr="008225BE" w:rsidRDefault="008225BE" w:rsidP="00E27AEF">
      <w:pPr>
        <w:spacing w:before="240"/>
        <w:rPr>
          <w:lang w:val="fr-CA"/>
        </w:rPr>
      </w:pPr>
      <w:r w:rsidRPr="008225BE">
        <w:rPr>
          <w:lang w:val="fr-CA"/>
        </w:rPr>
        <w:t xml:space="preserve">Nom du résident : </w:t>
      </w:r>
      <w:r w:rsidR="00E27AEF" w:rsidRPr="008225BE">
        <w:rPr>
          <w:lang w:val="fr-CA"/>
        </w:rPr>
        <w:t xml:space="preserve"> __________________________________________________</w:t>
      </w:r>
    </w:p>
    <w:p w:rsidR="00E27AEF" w:rsidRPr="008225BE" w:rsidRDefault="008225BE" w:rsidP="00E27AEF">
      <w:pPr>
        <w:rPr>
          <w:lang w:val="fr-CA"/>
        </w:rPr>
      </w:pPr>
      <w:r w:rsidRPr="000635D5">
        <w:rPr>
          <w:lang w:val="fr-CA"/>
        </w:rPr>
        <w:t xml:space="preserve">Année d’études postdoctorales : </w:t>
      </w:r>
      <w:r w:rsidR="00E27AEF" w:rsidRPr="008225BE">
        <w:rPr>
          <w:lang w:val="fr-CA"/>
        </w:rPr>
        <w:t>____________________________</w:t>
      </w:r>
    </w:p>
    <w:p w:rsidR="008225BE" w:rsidRPr="008225BE" w:rsidRDefault="008225BE" w:rsidP="008225BE">
      <w:pPr>
        <w:rPr>
          <w:rFonts w:cs="AGaramondPro-Bold"/>
          <w:b/>
          <w:bCs/>
          <w:lang w:val="fr-CA"/>
        </w:rPr>
      </w:pPr>
      <w:r w:rsidRPr="008225BE">
        <w:rPr>
          <w:rFonts w:cs="AGaramondPro-Bold"/>
          <w:b/>
          <w:bCs/>
          <w:lang w:val="fr-CA"/>
        </w:rPr>
        <w:t xml:space="preserve">Indiquez </w:t>
      </w:r>
      <w:r w:rsidRPr="008225BE">
        <w:rPr>
          <w:rFonts w:cs="AGaramondPro-Bold"/>
          <w:b/>
          <w:bCs/>
          <w:lang w:val="en-US"/>
        </w:rPr>
        <w:sym w:font="Wingdings 2" w:char="F052"/>
      </w:r>
      <w:r w:rsidRPr="008225BE">
        <w:rPr>
          <w:rFonts w:cs="AGaramondPro-Bold"/>
          <w:b/>
          <w:bCs/>
          <w:lang w:val="fr-CA"/>
        </w:rPr>
        <w:t xml:space="preserve"> tous les choix qui s’appliquent. Je suis :</w:t>
      </w:r>
    </w:p>
    <w:p w:rsidR="00E27AEF" w:rsidRPr="008225BE" w:rsidRDefault="008225BE" w:rsidP="00E27AEF">
      <w:pPr>
        <w:pStyle w:val="ListParagraph"/>
        <w:numPr>
          <w:ilvl w:val="0"/>
          <w:numId w:val="15"/>
        </w:numPr>
        <w:rPr>
          <w:lang w:val="fr-CA"/>
        </w:rPr>
      </w:pPr>
      <w:r w:rsidRPr="008225BE">
        <w:rPr>
          <w:lang w:val="fr-CA"/>
        </w:rPr>
        <w:t>Membre d’une équipe de professionnels de la santé</w:t>
      </w:r>
    </w:p>
    <w:p w:rsidR="00E27AEF" w:rsidRDefault="008225BE" w:rsidP="00E27AEF">
      <w:pPr>
        <w:pStyle w:val="ListParagraph"/>
        <w:numPr>
          <w:ilvl w:val="0"/>
          <w:numId w:val="15"/>
        </w:numPr>
      </w:pPr>
      <w:proofErr w:type="spellStart"/>
      <w:r w:rsidRPr="008225BE">
        <w:t>Résident</w:t>
      </w:r>
      <w:proofErr w:type="spellEnd"/>
    </w:p>
    <w:p w:rsidR="00E27AEF" w:rsidRPr="008225BE" w:rsidRDefault="008225BE" w:rsidP="00E27AEF">
      <w:pPr>
        <w:pStyle w:val="ListParagraph"/>
        <w:numPr>
          <w:ilvl w:val="0"/>
          <w:numId w:val="15"/>
        </w:numPr>
        <w:rPr>
          <w:lang w:val="fr-CA"/>
        </w:rPr>
      </w:pPr>
      <w:r w:rsidRPr="008225BE">
        <w:rPr>
          <w:lang w:val="fr-CA"/>
        </w:rPr>
        <w:t>Étudiant en médecine (ou stagiaire)</w:t>
      </w:r>
    </w:p>
    <w:p w:rsidR="00E27AEF" w:rsidRDefault="008225BE" w:rsidP="00E27AEF">
      <w:pPr>
        <w:pStyle w:val="ListParagraph"/>
        <w:numPr>
          <w:ilvl w:val="0"/>
          <w:numId w:val="15"/>
        </w:numPr>
      </w:pPr>
      <w:proofErr w:type="spellStart"/>
      <w:r w:rsidRPr="008225BE">
        <w:t>Enseignant</w:t>
      </w:r>
      <w:proofErr w:type="spellEnd"/>
    </w:p>
    <w:p w:rsidR="00E27AEF" w:rsidRPr="00A20EC6" w:rsidRDefault="008225BE" w:rsidP="00E27AEF">
      <w:pPr>
        <w:pStyle w:val="ListParagraph"/>
        <w:numPr>
          <w:ilvl w:val="0"/>
          <w:numId w:val="15"/>
        </w:numPr>
      </w:pPr>
      <w:r w:rsidRPr="008225BE">
        <w:t>Autre</w:t>
      </w:r>
    </w:p>
    <w:p w:rsidR="008225BE" w:rsidRPr="008225BE" w:rsidRDefault="008225BE" w:rsidP="008225BE">
      <w:pPr>
        <w:rPr>
          <w:rFonts w:cs="AGaramondPro-Bold"/>
          <w:b/>
          <w:bCs/>
          <w:lang w:val="en-US"/>
        </w:rPr>
      </w:pPr>
      <w:proofErr w:type="spellStart"/>
      <w:r w:rsidRPr="008225BE">
        <w:rPr>
          <w:rFonts w:cs="AGaramondPro-Bold"/>
          <w:b/>
          <w:bCs/>
          <w:lang w:val="en-US"/>
        </w:rPr>
        <w:t>Degré</w:t>
      </w:r>
      <w:proofErr w:type="spellEnd"/>
      <w:r w:rsidRPr="008225BE">
        <w:rPr>
          <w:rFonts w:cs="AGaramondPro-Bold"/>
          <w:b/>
          <w:bCs/>
          <w:lang w:val="en-US"/>
        </w:rPr>
        <w:t xml:space="preserve"> </w:t>
      </w:r>
      <w:proofErr w:type="spellStart"/>
      <w:proofErr w:type="gramStart"/>
      <w:r w:rsidRPr="008225BE">
        <w:rPr>
          <w:rFonts w:cs="AGaramondPro-Bold"/>
          <w:b/>
          <w:bCs/>
          <w:lang w:val="en-US"/>
        </w:rPr>
        <w:t>d’interaction</w:t>
      </w:r>
      <w:proofErr w:type="spellEnd"/>
      <w:r w:rsidRPr="008225BE">
        <w:rPr>
          <w:rFonts w:cs="AGaramondPro-Bold"/>
          <w:b/>
          <w:bCs/>
          <w:lang w:val="en-US"/>
        </w:rPr>
        <w:t xml:space="preserve"> :</w:t>
      </w:r>
      <w:proofErr w:type="gramEnd"/>
    </w:p>
    <w:p w:rsidR="00E27AEF" w:rsidRPr="00A20EC6" w:rsidRDefault="008225BE" w:rsidP="00E27AEF">
      <w:pPr>
        <w:pStyle w:val="ListParagraph"/>
        <w:numPr>
          <w:ilvl w:val="0"/>
          <w:numId w:val="16"/>
        </w:numPr>
      </w:pPr>
      <w:proofErr w:type="spellStart"/>
      <w:r w:rsidRPr="008225BE">
        <w:t>Enseignement</w:t>
      </w:r>
      <w:proofErr w:type="spellEnd"/>
      <w:r w:rsidRPr="008225BE">
        <w:t xml:space="preserve"> </w:t>
      </w:r>
      <w:proofErr w:type="spellStart"/>
      <w:r w:rsidRPr="008225BE">
        <w:t>considérable</w:t>
      </w:r>
      <w:proofErr w:type="spellEnd"/>
    </w:p>
    <w:p w:rsidR="00E27AEF" w:rsidRPr="008225BE" w:rsidRDefault="008225BE" w:rsidP="00E27AEF">
      <w:pPr>
        <w:pStyle w:val="ListParagraph"/>
        <w:numPr>
          <w:ilvl w:val="0"/>
          <w:numId w:val="16"/>
        </w:numPr>
        <w:rPr>
          <w:lang w:val="fr-CA"/>
        </w:rPr>
      </w:pPr>
      <w:r w:rsidRPr="008225BE">
        <w:rPr>
          <w:bCs/>
          <w:lang w:val="fr-CA"/>
        </w:rPr>
        <w:t>Enseignement occasionnel ou une seule fois</w:t>
      </w:r>
    </w:p>
    <w:p w:rsidR="002666E9" w:rsidRPr="008225BE" w:rsidRDefault="002666E9" w:rsidP="002666E9">
      <w:pPr>
        <w:rPr>
          <w:lang w:val="fr-CA"/>
        </w:rPr>
      </w:pPr>
    </w:p>
    <w:tbl>
      <w:tblPr>
        <w:tblW w:w="10800" w:type="dxa"/>
        <w:tblInd w:w="14" w:type="dxa"/>
        <w:tblLayout w:type="fixed"/>
        <w:tblCellMar>
          <w:left w:w="0" w:type="dxa"/>
          <w:right w:w="0" w:type="dxa"/>
        </w:tblCellMar>
        <w:tblLook w:val="0000" w:firstRow="0" w:lastRow="0" w:firstColumn="0" w:lastColumn="0" w:noHBand="0" w:noVBand="0"/>
      </w:tblPr>
      <w:tblGrid>
        <w:gridCol w:w="3926"/>
        <w:gridCol w:w="1145"/>
        <w:gridCol w:w="1146"/>
        <w:gridCol w:w="1146"/>
        <w:gridCol w:w="1145"/>
        <w:gridCol w:w="1146"/>
        <w:gridCol w:w="1146"/>
      </w:tblGrid>
      <w:tr w:rsidR="00E27AEF" w:rsidRPr="00A20EC6" w:rsidTr="007C045C">
        <w:trPr>
          <w:cantSplit/>
          <w:trHeight w:val="562"/>
          <w:tblHeader/>
        </w:trPr>
        <w:tc>
          <w:tcPr>
            <w:tcW w:w="3926" w:type="dxa"/>
            <w:tcBorders>
              <w:top w:val="single" w:sz="4" w:space="0" w:color="000000"/>
              <w:left w:val="single" w:sz="6" w:space="0" w:color="000000"/>
              <w:bottom w:val="single" w:sz="4" w:space="0" w:color="000000"/>
              <w:right w:val="single" w:sz="4" w:space="0" w:color="000000"/>
            </w:tcBorders>
            <w:tcMar>
              <w:top w:w="14" w:type="dxa"/>
              <w:left w:w="14" w:type="dxa"/>
              <w:bottom w:w="14" w:type="dxa"/>
              <w:right w:w="14" w:type="dxa"/>
            </w:tcMar>
            <w:vAlign w:val="center"/>
          </w:tcPr>
          <w:p w:rsidR="00E27AEF" w:rsidRPr="00466028" w:rsidRDefault="00466028" w:rsidP="00E27AEF">
            <w:pPr>
              <w:pStyle w:val="ChartHead"/>
              <w:rPr>
                <w:lang w:val="fr-CA"/>
              </w:rPr>
            </w:pPr>
            <w:r>
              <w:rPr>
                <w:lang w:val="fr-CA"/>
              </w:rPr>
              <w:t xml:space="preserve"> </w:t>
            </w:r>
            <w:r w:rsidRPr="00466028">
              <w:rPr>
                <w:lang w:val="fr-CA"/>
              </w:rPr>
              <w:t>Le résident…</w:t>
            </w:r>
          </w:p>
        </w:tc>
        <w:tc>
          <w:tcPr>
            <w:tcW w:w="1145" w:type="dxa"/>
            <w:tcBorders>
              <w:top w:val="single" w:sz="4" w:space="0" w:color="000000"/>
              <w:left w:val="single" w:sz="4" w:space="0" w:color="000000"/>
              <w:bottom w:val="single" w:sz="4" w:space="0" w:color="000000"/>
              <w:right w:val="single" w:sz="4" w:space="0" w:color="000000"/>
            </w:tcBorders>
            <w:tcMar>
              <w:top w:w="90" w:type="dxa"/>
              <w:left w:w="14" w:type="dxa"/>
              <w:bottom w:w="90" w:type="dxa"/>
              <w:right w:w="14" w:type="dxa"/>
            </w:tcMar>
          </w:tcPr>
          <w:p w:rsidR="00E27AEF" w:rsidRPr="00A20EC6" w:rsidRDefault="00E27AEF" w:rsidP="00E27AEF">
            <w:pPr>
              <w:pStyle w:val="ChartHead"/>
              <w:jc w:val="center"/>
            </w:pPr>
            <w:r w:rsidRPr="00A20EC6">
              <w:t>1</w:t>
            </w:r>
          </w:p>
          <w:p w:rsidR="00E27AEF" w:rsidRPr="00A20EC6" w:rsidRDefault="00466028" w:rsidP="00E27AEF">
            <w:pPr>
              <w:pStyle w:val="ChartHead"/>
              <w:jc w:val="center"/>
            </w:pPr>
            <w:proofErr w:type="spellStart"/>
            <w:r w:rsidRPr="00466028">
              <w:rPr>
                <w:rFonts w:cs="Frutiger-LightCn"/>
                <w:sz w:val="14"/>
                <w:szCs w:val="14"/>
              </w:rPr>
              <w:t>Très</w:t>
            </w:r>
            <w:proofErr w:type="spellEnd"/>
            <w:r w:rsidRPr="00466028">
              <w:rPr>
                <w:rFonts w:cs="Frutiger-LightCn"/>
                <w:sz w:val="14"/>
                <w:szCs w:val="14"/>
              </w:rPr>
              <w:t xml:space="preserve"> </w:t>
            </w:r>
            <w:proofErr w:type="spellStart"/>
            <w:r w:rsidRPr="00466028">
              <w:rPr>
                <w:rFonts w:cs="Frutiger-LightCn"/>
                <w:sz w:val="14"/>
                <w:szCs w:val="14"/>
              </w:rPr>
              <w:t>faible</w:t>
            </w:r>
            <w:proofErr w:type="spellEnd"/>
          </w:p>
        </w:tc>
        <w:tc>
          <w:tcPr>
            <w:tcW w:w="1146" w:type="dxa"/>
            <w:tcBorders>
              <w:top w:val="single" w:sz="4" w:space="0" w:color="000000"/>
              <w:left w:val="single" w:sz="4" w:space="0" w:color="000000"/>
              <w:bottom w:val="single" w:sz="4" w:space="0" w:color="000000"/>
              <w:right w:val="single" w:sz="4" w:space="0" w:color="000000"/>
            </w:tcBorders>
            <w:tcMar>
              <w:top w:w="90" w:type="dxa"/>
              <w:left w:w="14" w:type="dxa"/>
              <w:bottom w:w="90" w:type="dxa"/>
              <w:right w:w="14" w:type="dxa"/>
            </w:tcMar>
          </w:tcPr>
          <w:p w:rsidR="00E27AEF" w:rsidRPr="00A20EC6" w:rsidRDefault="00E27AEF" w:rsidP="00E27AEF">
            <w:pPr>
              <w:pStyle w:val="ChartHead"/>
              <w:jc w:val="center"/>
            </w:pPr>
            <w:r w:rsidRPr="00A20EC6">
              <w:t>2</w:t>
            </w:r>
          </w:p>
          <w:p w:rsidR="007F0897" w:rsidRPr="007F0897" w:rsidRDefault="007F0897" w:rsidP="007F0897">
            <w:pPr>
              <w:pStyle w:val="ChartHead"/>
              <w:jc w:val="center"/>
              <w:rPr>
                <w:rFonts w:cs="Frutiger-LightCn"/>
                <w:i/>
                <w:iCs/>
                <w:sz w:val="14"/>
                <w:szCs w:val="14"/>
              </w:rPr>
            </w:pPr>
            <w:proofErr w:type="spellStart"/>
            <w:r w:rsidRPr="007F0897">
              <w:rPr>
                <w:rFonts w:cs="Frutiger-LightCn"/>
                <w:sz w:val="14"/>
                <w:szCs w:val="14"/>
                <w:lang w:val="en-US"/>
              </w:rPr>
              <w:t>Besoin</w:t>
            </w:r>
            <w:proofErr w:type="spellEnd"/>
          </w:p>
          <w:p w:rsidR="00E27AEF" w:rsidRPr="00A20EC6" w:rsidRDefault="007F0897" w:rsidP="007F0897">
            <w:pPr>
              <w:pStyle w:val="ChartHead"/>
              <w:jc w:val="center"/>
            </w:pPr>
            <w:proofErr w:type="spellStart"/>
            <w:r w:rsidRPr="007F0897">
              <w:rPr>
                <w:rFonts w:cs="Frutiger-LightCn"/>
                <w:sz w:val="14"/>
                <w:szCs w:val="14"/>
                <w:lang w:val="en-US"/>
              </w:rPr>
              <w:t>d’amélioration</w:t>
            </w:r>
            <w:proofErr w:type="spellEnd"/>
            <w:r>
              <w:rPr>
                <w:rFonts w:cs="Frutiger-LightCn"/>
                <w:sz w:val="14"/>
                <w:szCs w:val="14"/>
              </w:rPr>
              <w:t xml:space="preserve"> </w:t>
            </w:r>
          </w:p>
        </w:tc>
        <w:tc>
          <w:tcPr>
            <w:tcW w:w="1146" w:type="dxa"/>
            <w:tcBorders>
              <w:top w:val="single" w:sz="4" w:space="0" w:color="000000"/>
              <w:left w:val="single" w:sz="4" w:space="0" w:color="000000"/>
              <w:bottom w:val="single" w:sz="4" w:space="0" w:color="000000"/>
              <w:right w:val="single" w:sz="4" w:space="0" w:color="000000"/>
            </w:tcBorders>
            <w:tcMar>
              <w:top w:w="90" w:type="dxa"/>
              <w:left w:w="14" w:type="dxa"/>
              <w:bottom w:w="90" w:type="dxa"/>
              <w:right w:w="14" w:type="dxa"/>
            </w:tcMar>
          </w:tcPr>
          <w:p w:rsidR="00E27AEF" w:rsidRPr="00A20EC6" w:rsidRDefault="00E27AEF" w:rsidP="00E27AEF">
            <w:pPr>
              <w:pStyle w:val="ChartHead"/>
              <w:jc w:val="center"/>
            </w:pPr>
            <w:r w:rsidRPr="00A20EC6">
              <w:t>3</w:t>
            </w:r>
          </w:p>
          <w:p w:rsidR="00E27AEF" w:rsidRPr="00A20EC6" w:rsidRDefault="007F0897" w:rsidP="00E27AEF">
            <w:pPr>
              <w:pStyle w:val="ChartHead"/>
              <w:jc w:val="center"/>
              <w:rPr>
                <w:sz w:val="14"/>
                <w:szCs w:val="14"/>
              </w:rPr>
            </w:pPr>
            <w:proofErr w:type="spellStart"/>
            <w:r w:rsidRPr="007F0897">
              <w:rPr>
                <w:sz w:val="14"/>
                <w:szCs w:val="14"/>
              </w:rPr>
              <w:t>Compétent</w:t>
            </w:r>
            <w:proofErr w:type="spellEnd"/>
          </w:p>
        </w:tc>
        <w:tc>
          <w:tcPr>
            <w:tcW w:w="1145" w:type="dxa"/>
            <w:tcBorders>
              <w:top w:val="single" w:sz="4" w:space="0" w:color="000000"/>
              <w:left w:val="single" w:sz="4" w:space="0" w:color="000000"/>
              <w:bottom w:val="single" w:sz="4" w:space="0" w:color="000000"/>
              <w:right w:val="single" w:sz="4" w:space="0" w:color="000000"/>
            </w:tcBorders>
            <w:tcMar>
              <w:top w:w="90" w:type="dxa"/>
              <w:left w:w="14" w:type="dxa"/>
              <w:bottom w:w="90" w:type="dxa"/>
              <w:right w:w="14" w:type="dxa"/>
            </w:tcMar>
          </w:tcPr>
          <w:p w:rsidR="00E27AEF" w:rsidRPr="00A20EC6" w:rsidRDefault="00E27AEF" w:rsidP="00E27AEF">
            <w:pPr>
              <w:pStyle w:val="ChartHead"/>
              <w:jc w:val="center"/>
            </w:pPr>
            <w:r w:rsidRPr="00A20EC6">
              <w:t>4</w:t>
            </w:r>
          </w:p>
          <w:p w:rsidR="00E27AEF" w:rsidRPr="00A20EC6" w:rsidRDefault="007F0897" w:rsidP="00E27AEF">
            <w:pPr>
              <w:pStyle w:val="ChartHead"/>
              <w:jc w:val="center"/>
              <w:rPr>
                <w:sz w:val="14"/>
                <w:szCs w:val="14"/>
              </w:rPr>
            </w:pPr>
            <w:r w:rsidRPr="007F0897">
              <w:rPr>
                <w:rFonts w:cs="Frutiger-LightCn"/>
                <w:sz w:val="14"/>
                <w:szCs w:val="14"/>
              </w:rPr>
              <w:t>Habile</w:t>
            </w:r>
            <w:r>
              <w:rPr>
                <w:rFonts w:cs="Frutiger-LightCn"/>
                <w:sz w:val="14"/>
                <w:szCs w:val="14"/>
              </w:rPr>
              <w:t xml:space="preserve"> </w:t>
            </w:r>
          </w:p>
        </w:tc>
        <w:tc>
          <w:tcPr>
            <w:tcW w:w="1146" w:type="dxa"/>
            <w:tcBorders>
              <w:top w:val="single" w:sz="4" w:space="0" w:color="000000"/>
              <w:left w:val="single" w:sz="4" w:space="0" w:color="000000"/>
              <w:bottom w:val="single" w:sz="4" w:space="0" w:color="000000"/>
              <w:right w:val="single" w:sz="4" w:space="0" w:color="000000"/>
            </w:tcBorders>
            <w:tcMar>
              <w:top w:w="90" w:type="dxa"/>
              <w:left w:w="14" w:type="dxa"/>
              <w:bottom w:w="90" w:type="dxa"/>
              <w:right w:w="14" w:type="dxa"/>
            </w:tcMar>
          </w:tcPr>
          <w:p w:rsidR="00E27AEF" w:rsidRPr="00A20EC6" w:rsidRDefault="00E27AEF" w:rsidP="00E27AEF">
            <w:pPr>
              <w:pStyle w:val="ChartHead"/>
              <w:jc w:val="center"/>
            </w:pPr>
            <w:r w:rsidRPr="00A20EC6">
              <w:t>5</w:t>
            </w:r>
          </w:p>
          <w:p w:rsidR="00E27AEF" w:rsidRPr="00A20EC6" w:rsidRDefault="007F0897" w:rsidP="00E27AEF">
            <w:pPr>
              <w:pStyle w:val="ChartHead"/>
              <w:jc w:val="center"/>
              <w:rPr>
                <w:sz w:val="14"/>
                <w:szCs w:val="14"/>
              </w:rPr>
            </w:pPr>
            <w:proofErr w:type="spellStart"/>
            <w:r w:rsidRPr="007F0897">
              <w:rPr>
                <w:rFonts w:cs="Frutiger-LightCn"/>
                <w:sz w:val="14"/>
                <w:szCs w:val="14"/>
              </w:rPr>
              <w:t>Exemplaire</w:t>
            </w:r>
            <w:proofErr w:type="spellEnd"/>
          </w:p>
        </w:tc>
        <w:tc>
          <w:tcPr>
            <w:tcW w:w="1146" w:type="dxa"/>
            <w:tcBorders>
              <w:top w:val="single" w:sz="4" w:space="0" w:color="000000"/>
              <w:left w:val="single" w:sz="4" w:space="0" w:color="000000"/>
              <w:bottom w:val="single" w:sz="4" w:space="0" w:color="000000"/>
              <w:right w:val="single" w:sz="6" w:space="0" w:color="000000"/>
            </w:tcBorders>
            <w:tcMar>
              <w:top w:w="90" w:type="dxa"/>
              <w:left w:w="14" w:type="dxa"/>
              <w:bottom w:w="90" w:type="dxa"/>
              <w:right w:w="14" w:type="dxa"/>
            </w:tcMar>
          </w:tcPr>
          <w:p w:rsidR="00E27AEF" w:rsidRPr="00A20EC6" w:rsidRDefault="00E27AEF" w:rsidP="00E27AEF">
            <w:pPr>
              <w:pStyle w:val="ChartHead"/>
              <w:jc w:val="center"/>
              <w:rPr>
                <w:rFonts w:cs="Frutiger-LightCn"/>
                <w:i/>
                <w:iCs/>
              </w:rPr>
            </w:pPr>
          </w:p>
          <w:p w:rsidR="007F0897" w:rsidRPr="007F0897" w:rsidRDefault="007F0897" w:rsidP="007F0897">
            <w:pPr>
              <w:pStyle w:val="ChartHead"/>
              <w:jc w:val="center"/>
              <w:rPr>
                <w:rFonts w:cs="Frutiger-LightCn"/>
                <w:sz w:val="14"/>
                <w:szCs w:val="14"/>
                <w:lang w:val="en-US"/>
              </w:rPr>
            </w:pPr>
            <w:r w:rsidRPr="007F0897">
              <w:rPr>
                <w:rFonts w:cs="Frutiger-LightCn"/>
                <w:sz w:val="14"/>
                <w:szCs w:val="14"/>
                <w:lang w:val="en-US"/>
              </w:rPr>
              <w:t xml:space="preserve">Ne </w:t>
            </w:r>
            <w:proofErr w:type="spellStart"/>
            <w:r w:rsidRPr="007F0897">
              <w:rPr>
                <w:rFonts w:cs="Frutiger-LightCn"/>
                <w:sz w:val="14"/>
                <w:szCs w:val="14"/>
                <w:lang w:val="en-US"/>
              </w:rPr>
              <w:t>peux</w:t>
            </w:r>
            <w:proofErr w:type="spellEnd"/>
          </w:p>
          <w:p w:rsidR="00E27AEF" w:rsidRPr="00A20EC6" w:rsidRDefault="007F0897" w:rsidP="007F0897">
            <w:pPr>
              <w:pStyle w:val="ChartHead"/>
              <w:jc w:val="center"/>
            </w:pPr>
            <w:r w:rsidRPr="007F0897">
              <w:rPr>
                <w:rFonts w:cs="Frutiger-LightCn"/>
                <w:sz w:val="14"/>
                <w:szCs w:val="14"/>
                <w:lang w:val="en-US"/>
              </w:rPr>
              <w:t>commenter</w:t>
            </w:r>
          </w:p>
        </w:tc>
      </w:tr>
      <w:tr w:rsidR="00E27AEF" w:rsidRPr="0059389E" w:rsidTr="007C045C">
        <w:trPr>
          <w:trHeight w:val="60"/>
        </w:trPr>
        <w:tc>
          <w:tcPr>
            <w:tcW w:w="3926"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lang w:val="fr-CA"/>
              </w:rPr>
            </w:pPr>
            <w:r w:rsidRPr="007F0897">
              <w:rPr>
                <w:lang w:val="fr-CA"/>
              </w:rPr>
              <w:t xml:space="preserve">A. </w:t>
            </w:r>
            <w:r w:rsidR="007F0897" w:rsidRPr="007F0897">
              <w:rPr>
                <w:lang w:val="fr-CA"/>
              </w:rPr>
              <w:t>Cerne les besoins en matière de santé en temps opportun (y compris la nécessité de revendiquer des ressources ou services de santé, de promouvoir de sains comportements et d’intégrer la prévention, la promotion de la santé et la surveillance)</w:t>
            </w:r>
          </w:p>
          <w:p w:rsidR="00E27AEF" w:rsidRPr="007F0897" w:rsidRDefault="00E27AEF" w:rsidP="00E27AEF">
            <w:pPr>
              <w:pStyle w:val="ChartBodyLeft"/>
              <w:rPr>
                <w:lang w:val="fr-CA"/>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tc>
        <w:tc>
          <w:tcPr>
            <w:tcW w:w="114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tc>
      </w:tr>
      <w:tr w:rsidR="00E27AEF" w:rsidRPr="0059389E" w:rsidTr="007C045C">
        <w:trPr>
          <w:trHeight w:val="60"/>
        </w:trPr>
        <w:tc>
          <w:tcPr>
            <w:tcW w:w="3926"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lang w:val="fr-CA"/>
              </w:rPr>
            </w:pPr>
            <w:r w:rsidRPr="007F0897">
              <w:rPr>
                <w:lang w:val="fr-CA"/>
              </w:rPr>
              <w:t xml:space="preserve">B. </w:t>
            </w:r>
            <w:r w:rsidR="007F0897" w:rsidRPr="007F0897">
              <w:rPr>
                <w:lang w:val="fr-CA"/>
              </w:rPr>
              <w:t>Met l’accent sur les besoins, les préférences et les valeurs des patients en matière de santé</w:t>
            </w:r>
          </w:p>
          <w:p w:rsidR="00E27AEF" w:rsidRPr="007F0897" w:rsidRDefault="00E27AEF" w:rsidP="00E27AEF">
            <w:pPr>
              <w:pStyle w:val="ChartBodyLeft"/>
              <w:rPr>
                <w:lang w:val="fr-CA"/>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p w:rsidR="00E27AEF" w:rsidRPr="007F0897" w:rsidRDefault="00E27AEF" w:rsidP="00E27AEF">
            <w:pPr>
              <w:pStyle w:val="ChartBodyLeft"/>
              <w:rPr>
                <w:rFonts w:cstheme="minorBidi"/>
                <w:lang w:val="fr-CA"/>
              </w:rPr>
            </w:pPr>
          </w:p>
          <w:p w:rsidR="00E27AEF" w:rsidRPr="007F0897" w:rsidRDefault="00E27AEF" w:rsidP="00E27AEF">
            <w:pPr>
              <w:pStyle w:val="ChartBodyLeft"/>
              <w:rPr>
                <w:rFonts w:cstheme="minorBidi"/>
                <w:lang w:val="fr-CA"/>
              </w:rPr>
            </w:pPr>
          </w:p>
          <w:p w:rsidR="00E27AEF" w:rsidRPr="007F0897" w:rsidRDefault="00E27AEF" w:rsidP="00E27AEF">
            <w:pPr>
              <w:pStyle w:val="ChartBodyLeft"/>
              <w:rPr>
                <w:rFonts w:cstheme="minorBidi"/>
                <w:lang w:val="fr-CA"/>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tc>
        <w:tc>
          <w:tcPr>
            <w:tcW w:w="114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tc>
      </w:tr>
      <w:tr w:rsidR="00E27AEF" w:rsidRPr="0059389E" w:rsidTr="007C045C">
        <w:trPr>
          <w:trHeight w:val="60"/>
        </w:trPr>
        <w:tc>
          <w:tcPr>
            <w:tcW w:w="3926"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lang w:val="fr-CA"/>
              </w:rPr>
            </w:pPr>
            <w:r w:rsidRPr="007F0897">
              <w:rPr>
                <w:lang w:val="fr-CA"/>
              </w:rPr>
              <w:t xml:space="preserve">C. </w:t>
            </w:r>
            <w:r w:rsidR="007F0897" w:rsidRPr="007F0897">
              <w:rPr>
                <w:lang w:val="fr-CA"/>
              </w:rPr>
              <w:t>Collabore avec le patient, les autres professionnels de la santé et les organismes de promotion de la santé</w:t>
            </w:r>
          </w:p>
          <w:p w:rsidR="00E27AEF" w:rsidRPr="007F0897" w:rsidRDefault="00E27AEF" w:rsidP="00E27AEF">
            <w:pPr>
              <w:pStyle w:val="ChartBodyLeft"/>
              <w:rPr>
                <w:lang w:val="fr-CA"/>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tc>
        <w:tc>
          <w:tcPr>
            <w:tcW w:w="114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tc>
      </w:tr>
      <w:tr w:rsidR="00E27AEF" w:rsidRPr="0059389E" w:rsidTr="007C045C">
        <w:trPr>
          <w:trHeight w:val="60"/>
        </w:trPr>
        <w:tc>
          <w:tcPr>
            <w:tcW w:w="3926"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lang w:val="fr-CA"/>
              </w:rPr>
            </w:pPr>
            <w:r w:rsidRPr="007F0897">
              <w:rPr>
                <w:lang w:val="fr-CA"/>
              </w:rPr>
              <w:t>D.</w:t>
            </w:r>
            <w:r w:rsidR="007F0897" w:rsidRPr="007F0897">
              <w:rPr>
                <w:lang w:val="fr-CA"/>
              </w:rPr>
              <w:t xml:space="preserve"> Travaille avec le patient et sa famille</w:t>
            </w: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p w:rsidR="00E27AEF" w:rsidRPr="007F0897" w:rsidRDefault="00E27AEF" w:rsidP="00E27AEF">
            <w:pPr>
              <w:pStyle w:val="ChartBodyLeft"/>
              <w:rPr>
                <w:rFonts w:cstheme="minorBidi"/>
                <w:lang w:val="fr-CA"/>
              </w:rPr>
            </w:pPr>
          </w:p>
          <w:p w:rsidR="00E27AEF" w:rsidRPr="007F0897" w:rsidRDefault="00E27AEF" w:rsidP="00E27AEF">
            <w:pPr>
              <w:pStyle w:val="ChartBodyLeft"/>
              <w:rPr>
                <w:rFonts w:cstheme="minorBidi"/>
                <w:lang w:val="fr-CA"/>
              </w:rPr>
            </w:pPr>
          </w:p>
          <w:p w:rsidR="00E27AEF" w:rsidRPr="007F0897" w:rsidRDefault="00E27AEF" w:rsidP="00E27AEF">
            <w:pPr>
              <w:pStyle w:val="ChartBodyLeft"/>
              <w:rPr>
                <w:rFonts w:cstheme="minorBidi"/>
                <w:lang w:val="fr-CA"/>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tc>
        <w:tc>
          <w:tcPr>
            <w:tcW w:w="114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tc>
      </w:tr>
      <w:tr w:rsidR="00E27AEF" w:rsidRPr="0059389E" w:rsidTr="007C045C">
        <w:trPr>
          <w:trHeight w:val="60"/>
        </w:trPr>
        <w:tc>
          <w:tcPr>
            <w:tcW w:w="3926"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lang w:val="fr-CA"/>
              </w:rPr>
            </w:pPr>
            <w:r w:rsidRPr="007F0897">
              <w:rPr>
                <w:lang w:val="fr-CA"/>
              </w:rPr>
              <w:lastRenderedPageBreak/>
              <w:t xml:space="preserve">E. </w:t>
            </w:r>
            <w:r w:rsidR="007F0897" w:rsidRPr="007F0897">
              <w:rPr>
                <w:lang w:val="fr-CA"/>
              </w:rPr>
              <w:t>Sait établir un équilibre entre la promotion de la santé et la bonne gestion des ressources de la santé</w:t>
            </w:r>
          </w:p>
          <w:p w:rsidR="00E27AEF" w:rsidRPr="007F0897" w:rsidRDefault="00E27AEF" w:rsidP="00E27AEF">
            <w:pPr>
              <w:pStyle w:val="ChartBodyLeft"/>
              <w:rPr>
                <w:lang w:val="fr-CA"/>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p w:rsidR="00E27AEF" w:rsidRPr="007F0897" w:rsidRDefault="00E27AEF" w:rsidP="00E27AEF">
            <w:pPr>
              <w:pStyle w:val="ChartBodyLeft"/>
              <w:rPr>
                <w:rFonts w:cstheme="minorBidi"/>
                <w:lang w:val="fr-CA"/>
              </w:rPr>
            </w:pPr>
          </w:p>
          <w:p w:rsidR="00E27AEF" w:rsidRPr="007F0897" w:rsidRDefault="00E27AEF" w:rsidP="00E27AEF">
            <w:pPr>
              <w:pStyle w:val="ChartBodyLeft"/>
              <w:rPr>
                <w:rFonts w:cstheme="minorBidi"/>
                <w:lang w:val="fr-CA"/>
              </w:rPr>
            </w:pPr>
          </w:p>
          <w:p w:rsidR="00E27AEF" w:rsidRPr="007F0897" w:rsidRDefault="00E27AEF" w:rsidP="00E27AEF">
            <w:pPr>
              <w:pStyle w:val="ChartBodyLeft"/>
              <w:rPr>
                <w:rFonts w:cstheme="minorBidi"/>
                <w:lang w:val="fr-CA"/>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tc>
        <w:tc>
          <w:tcPr>
            <w:tcW w:w="114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E27AEF" w:rsidRPr="007F0897" w:rsidRDefault="00E27AEF" w:rsidP="00E27AEF">
            <w:pPr>
              <w:pStyle w:val="ChartBodyLeft"/>
              <w:rPr>
                <w:rFonts w:cstheme="minorBidi"/>
                <w:lang w:val="fr-CA"/>
              </w:rPr>
            </w:pPr>
          </w:p>
        </w:tc>
      </w:tr>
    </w:tbl>
    <w:p w:rsidR="00322403" w:rsidRPr="007F0897" w:rsidRDefault="00322403" w:rsidP="00E27AEF">
      <w:pPr>
        <w:pStyle w:val="ChartBodyLeft"/>
        <w:rPr>
          <w:lang w:val="fr-CA"/>
        </w:rPr>
      </w:pPr>
    </w:p>
    <w:p w:rsidR="00E27AEF" w:rsidRDefault="007F0897" w:rsidP="00E27AEF">
      <w:proofErr w:type="spellStart"/>
      <w:proofErr w:type="gramStart"/>
      <w:r w:rsidRPr="007F0897">
        <w:t>Commentaires</w:t>
      </w:r>
      <w:proofErr w:type="spellEnd"/>
      <w:r w:rsidRPr="007F0897">
        <w:t xml:space="preserve"> :</w:t>
      </w:r>
      <w:proofErr w:type="gramEnd"/>
    </w:p>
    <w:p w:rsidR="00CB3156" w:rsidRDefault="00CB3156" w:rsidP="00E27AEF"/>
    <w:p w:rsidR="00E27AEF" w:rsidRDefault="00E27AEF" w:rsidP="00E27AEF"/>
    <w:tbl>
      <w:tblPr>
        <w:tblW w:w="10800" w:type="dxa"/>
        <w:tblInd w:w="90" w:type="dxa"/>
        <w:tblLayout w:type="fixed"/>
        <w:tblCellMar>
          <w:left w:w="0" w:type="dxa"/>
          <w:right w:w="0" w:type="dxa"/>
        </w:tblCellMar>
        <w:tblLook w:val="0000" w:firstRow="0" w:lastRow="0" w:firstColumn="0" w:lastColumn="0" w:noHBand="0" w:noVBand="0"/>
      </w:tblPr>
      <w:tblGrid>
        <w:gridCol w:w="1972"/>
        <w:gridCol w:w="1844"/>
        <w:gridCol w:w="1746"/>
        <w:gridCol w:w="1746"/>
        <w:gridCol w:w="1746"/>
        <w:gridCol w:w="1746"/>
      </w:tblGrid>
      <w:tr w:rsidR="00E27AEF" w:rsidRPr="00A20EC6" w:rsidTr="00CB3156">
        <w:trPr>
          <w:trHeight w:val="60"/>
        </w:trPr>
        <w:tc>
          <w:tcPr>
            <w:tcW w:w="1972" w:type="dxa"/>
            <w:vMerge w:val="restart"/>
            <w:tcBorders>
              <w:top w:val="single" w:sz="4" w:space="0" w:color="000000"/>
              <w:left w:val="single" w:sz="6" w:space="0" w:color="000000"/>
              <w:bottom w:val="single" w:sz="4" w:space="0" w:color="auto"/>
              <w:right w:val="single" w:sz="4" w:space="0" w:color="000000"/>
            </w:tcBorders>
            <w:tcMar>
              <w:top w:w="90" w:type="dxa"/>
              <w:left w:w="90" w:type="dxa"/>
              <w:bottom w:w="90" w:type="dxa"/>
              <w:right w:w="90" w:type="dxa"/>
            </w:tcMar>
          </w:tcPr>
          <w:p w:rsidR="000635D5" w:rsidRPr="000635D5" w:rsidRDefault="000635D5" w:rsidP="000635D5">
            <w:pPr>
              <w:pStyle w:val="ChartHead"/>
              <w:rPr>
                <w:lang w:val="en-US"/>
              </w:rPr>
            </w:pPr>
            <w:r w:rsidRPr="000635D5">
              <w:rPr>
                <w:lang w:val="en-US"/>
              </w:rPr>
              <w:t>PERFORMANCE</w:t>
            </w:r>
          </w:p>
          <w:p w:rsidR="000635D5" w:rsidRPr="000635D5" w:rsidRDefault="000635D5" w:rsidP="000635D5">
            <w:pPr>
              <w:pStyle w:val="ChartHead"/>
              <w:rPr>
                <w:lang w:val="en-US"/>
              </w:rPr>
            </w:pPr>
            <w:r w:rsidRPr="000635D5">
              <w:rPr>
                <w:lang w:val="en-US"/>
              </w:rPr>
              <w:t>GÉNÉRALE DU</w:t>
            </w:r>
          </w:p>
          <w:p w:rsidR="000635D5" w:rsidRPr="000635D5" w:rsidRDefault="000635D5" w:rsidP="000635D5">
            <w:pPr>
              <w:pStyle w:val="ChartHead"/>
              <w:rPr>
                <w:lang w:val="en-US"/>
              </w:rPr>
            </w:pPr>
            <w:r w:rsidRPr="000635D5">
              <w:rPr>
                <w:lang w:val="en-US"/>
              </w:rPr>
              <w:t>RÉSIDENT</w:t>
            </w:r>
            <w:r w:rsidRPr="000635D5">
              <w:rPr>
                <w:vertAlign w:val="superscript"/>
                <w:lang w:val="en-US"/>
              </w:rPr>
              <w:footnoteReference w:id="1"/>
            </w:r>
            <w:r w:rsidRPr="000635D5">
              <w:rPr>
                <w:lang w:val="en-US"/>
              </w:rPr>
              <w:t xml:space="preserve"> </w:t>
            </w:r>
          </w:p>
          <w:p w:rsidR="00E27AEF" w:rsidRPr="00A20EC6" w:rsidRDefault="00E27AEF" w:rsidP="00E27AEF">
            <w:pPr>
              <w:pStyle w:val="ChartHead"/>
            </w:pPr>
          </w:p>
        </w:tc>
        <w:tc>
          <w:tcPr>
            <w:tcW w:w="18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Head"/>
              <w:jc w:val="center"/>
            </w:pPr>
            <w:r w:rsidRPr="00A20EC6">
              <w:t>1</w:t>
            </w:r>
          </w:p>
        </w:tc>
        <w:tc>
          <w:tcPr>
            <w:tcW w:w="1746"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tcPr>
          <w:p w:rsidR="00E27AEF" w:rsidRPr="00A20EC6" w:rsidRDefault="00E27AEF" w:rsidP="00E27AEF">
            <w:pPr>
              <w:pStyle w:val="ChartHead"/>
              <w:jc w:val="center"/>
            </w:pPr>
            <w:r w:rsidRPr="00A20EC6">
              <w:t>2</w:t>
            </w:r>
          </w:p>
        </w:tc>
        <w:tc>
          <w:tcPr>
            <w:tcW w:w="17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Head"/>
              <w:jc w:val="center"/>
            </w:pPr>
            <w:r w:rsidRPr="00A20EC6">
              <w:t>3</w:t>
            </w:r>
          </w:p>
        </w:tc>
        <w:tc>
          <w:tcPr>
            <w:tcW w:w="17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Head"/>
              <w:jc w:val="center"/>
            </w:pPr>
            <w:r w:rsidRPr="00A20EC6">
              <w:t>4</w:t>
            </w:r>
          </w:p>
        </w:tc>
        <w:tc>
          <w:tcPr>
            <w:tcW w:w="174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E27AEF" w:rsidRPr="00A20EC6" w:rsidRDefault="00E27AEF" w:rsidP="00E27AEF">
            <w:pPr>
              <w:pStyle w:val="ChartHead"/>
              <w:jc w:val="center"/>
            </w:pPr>
            <w:r w:rsidRPr="00A20EC6">
              <w:t>5</w:t>
            </w:r>
          </w:p>
        </w:tc>
      </w:tr>
      <w:tr w:rsidR="00E27AEF" w:rsidRPr="00A20EC6" w:rsidTr="00CB3156">
        <w:trPr>
          <w:trHeight w:val="60"/>
        </w:trPr>
        <w:tc>
          <w:tcPr>
            <w:tcW w:w="1972" w:type="dxa"/>
            <w:vMerge/>
            <w:tcBorders>
              <w:top w:val="single" w:sz="4" w:space="0" w:color="000000"/>
              <w:left w:val="single" w:sz="6" w:space="0" w:color="000000"/>
              <w:bottom w:val="single" w:sz="4" w:space="0" w:color="auto"/>
              <w:right w:val="single" w:sz="4" w:space="0" w:color="000000"/>
            </w:tcBorders>
          </w:tcPr>
          <w:p w:rsidR="00E27AEF" w:rsidRPr="00A20EC6" w:rsidRDefault="00E27AEF" w:rsidP="007C045C">
            <w:pPr>
              <w:rPr>
                <w:rFonts w:cstheme="minorBidi"/>
              </w:rPr>
            </w:pPr>
          </w:p>
        </w:tc>
        <w:tc>
          <w:tcPr>
            <w:tcW w:w="18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635D5" w:rsidRPr="000635D5" w:rsidRDefault="000635D5" w:rsidP="000635D5">
            <w:pPr>
              <w:pStyle w:val="ChartBodyCentered"/>
              <w:rPr>
                <w:lang w:val="en-US"/>
              </w:rPr>
            </w:pPr>
            <w:r w:rsidRPr="000635D5">
              <w:rPr>
                <w:lang w:val="en-US"/>
              </w:rPr>
              <w:t>NÉCESSITE</w:t>
            </w:r>
          </w:p>
          <w:p w:rsidR="000635D5" w:rsidRPr="000635D5" w:rsidRDefault="000635D5" w:rsidP="000635D5">
            <w:pPr>
              <w:pStyle w:val="ChartBodyCentered"/>
              <w:rPr>
                <w:lang w:val="en-US"/>
              </w:rPr>
            </w:pPr>
            <w:r w:rsidRPr="000635D5">
              <w:rPr>
                <w:lang w:val="en-US"/>
              </w:rPr>
              <w:t>BEAUCOUP</w:t>
            </w:r>
          </w:p>
          <w:p w:rsidR="00E27AEF" w:rsidRPr="00E11E2C" w:rsidRDefault="000635D5" w:rsidP="000635D5">
            <w:pPr>
              <w:pStyle w:val="ChartBodyCentered"/>
            </w:pPr>
            <w:r w:rsidRPr="000635D5">
              <w:rPr>
                <w:lang w:val="en-US"/>
              </w:rPr>
              <w:t>D’AMÉLIORATION</w:t>
            </w:r>
          </w:p>
        </w:tc>
        <w:tc>
          <w:tcPr>
            <w:tcW w:w="17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635D5" w:rsidRPr="000635D5" w:rsidRDefault="000635D5" w:rsidP="000635D5">
            <w:pPr>
              <w:pStyle w:val="ChartBodyCentered"/>
              <w:rPr>
                <w:lang w:val="en-US"/>
              </w:rPr>
            </w:pPr>
            <w:r w:rsidRPr="000635D5">
              <w:rPr>
                <w:lang w:val="en-US"/>
              </w:rPr>
              <w:t>INFÉRIEUR AUX</w:t>
            </w:r>
          </w:p>
          <w:p w:rsidR="00E27AEF" w:rsidRPr="00E11E2C" w:rsidRDefault="000635D5" w:rsidP="000635D5">
            <w:pPr>
              <w:pStyle w:val="ChartBodyCentered"/>
            </w:pPr>
            <w:r w:rsidRPr="000635D5">
              <w:rPr>
                <w:lang w:val="en-US"/>
              </w:rPr>
              <w:t>ATTENTES</w:t>
            </w:r>
          </w:p>
        </w:tc>
        <w:tc>
          <w:tcPr>
            <w:tcW w:w="17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635D5" w:rsidRPr="000635D5" w:rsidRDefault="000635D5" w:rsidP="000635D5">
            <w:pPr>
              <w:pStyle w:val="ChartBodyCentered"/>
              <w:rPr>
                <w:lang w:val="en-US"/>
              </w:rPr>
            </w:pPr>
            <w:r w:rsidRPr="000635D5">
              <w:rPr>
                <w:lang w:val="en-US"/>
              </w:rPr>
              <w:t>PERFORMANCE</w:t>
            </w:r>
          </w:p>
          <w:p w:rsidR="000635D5" w:rsidRPr="000635D5" w:rsidRDefault="000635D5" w:rsidP="000635D5">
            <w:pPr>
              <w:pStyle w:val="ChartBodyCentered"/>
              <w:rPr>
                <w:lang w:val="en-US"/>
              </w:rPr>
            </w:pPr>
            <w:r w:rsidRPr="000635D5">
              <w:rPr>
                <w:lang w:val="en-US"/>
              </w:rPr>
              <w:t>CONVAINCANTE</w:t>
            </w:r>
          </w:p>
          <w:p w:rsidR="00E27AEF" w:rsidRPr="00E11E2C" w:rsidRDefault="000635D5" w:rsidP="000635D5">
            <w:pPr>
              <w:pStyle w:val="ChartBodyCentered"/>
            </w:pPr>
            <w:r w:rsidRPr="000635D5">
              <w:rPr>
                <w:lang w:val="en-US"/>
              </w:rPr>
              <w:t>ET COMPÉTENTE</w:t>
            </w:r>
          </w:p>
        </w:tc>
        <w:tc>
          <w:tcPr>
            <w:tcW w:w="17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635D5" w:rsidRPr="000635D5" w:rsidRDefault="000635D5" w:rsidP="000635D5">
            <w:pPr>
              <w:pStyle w:val="ChartBodyCentered"/>
              <w:rPr>
                <w:lang w:val="en-US"/>
              </w:rPr>
            </w:pPr>
            <w:r w:rsidRPr="000635D5">
              <w:rPr>
                <w:lang w:val="en-US"/>
              </w:rPr>
              <w:t>SUPÉRIEUR AUX</w:t>
            </w:r>
          </w:p>
          <w:p w:rsidR="00E27AEF" w:rsidRPr="00E11E2C" w:rsidRDefault="000635D5" w:rsidP="000635D5">
            <w:pPr>
              <w:pStyle w:val="ChartBodyCentered"/>
            </w:pPr>
            <w:r w:rsidRPr="000635D5">
              <w:rPr>
                <w:lang w:val="en-US"/>
              </w:rPr>
              <w:t>ATTENTES</w:t>
            </w:r>
          </w:p>
        </w:tc>
        <w:tc>
          <w:tcPr>
            <w:tcW w:w="174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E27AEF" w:rsidRPr="00E11E2C" w:rsidRDefault="000635D5" w:rsidP="00E27AEF">
            <w:pPr>
              <w:pStyle w:val="ChartBodyCentered"/>
            </w:pPr>
            <w:r w:rsidRPr="000635D5">
              <w:t>EXEMPLAIRE</w:t>
            </w:r>
          </w:p>
        </w:tc>
      </w:tr>
    </w:tbl>
    <w:p w:rsidR="00E27AEF" w:rsidRDefault="00E27AEF" w:rsidP="00E27AEF"/>
    <w:tbl>
      <w:tblPr>
        <w:tblW w:w="0" w:type="auto"/>
        <w:tblInd w:w="80" w:type="dxa"/>
        <w:tblLayout w:type="fixed"/>
        <w:tblCellMar>
          <w:left w:w="0" w:type="dxa"/>
          <w:right w:w="0" w:type="dxa"/>
        </w:tblCellMar>
        <w:tblLook w:val="0000" w:firstRow="0" w:lastRow="0" w:firstColumn="0" w:lastColumn="0" w:noHBand="0" w:noVBand="0"/>
      </w:tblPr>
      <w:tblGrid>
        <w:gridCol w:w="5400"/>
        <w:gridCol w:w="5400"/>
      </w:tblGrid>
      <w:tr w:rsidR="00E27AEF" w:rsidRPr="000635D5" w:rsidTr="007C045C">
        <w:trPr>
          <w:trHeight w:val="60"/>
        </w:trPr>
        <w:tc>
          <w:tcPr>
            <w:tcW w:w="540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E27AEF" w:rsidRPr="00A20EC6" w:rsidRDefault="000635D5" w:rsidP="00E27AEF">
            <w:pPr>
              <w:pStyle w:val="ChartHead"/>
            </w:pPr>
            <w:r w:rsidRPr="000635D5">
              <w:t>Forces</w:t>
            </w:r>
          </w:p>
        </w:tc>
        <w:tc>
          <w:tcPr>
            <w:tcW w:w="540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E27AEF" w:rsidRPr="000635D5" w:rsidRDefault="000635D5" w:rsidP="00E27AEF">
            <w:pPr>
              <w:pStyle w:val="ChartHead"/>
              <w:rPr>
                <w:lang w:val="fr-CA"/>
              </w:rPr>
            </w:pPr>
            <w:r w:rsidRPr="000635D5">
              <w:rPr>
                <w:lang w:val="fr-CA"/>
              </w:rPr>
              <w:t>Domaines d’amélioration souhaitée</w:t>
            </w:r>
          </w:p>
        </w:tc>
      </w:tr>
      <w:tr w:rsidR="00E27AEF" w:rsidRPr="00A20EC6" w:rsidTr="007C045C">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rsidR="00E27AEF" w:rsidRPr="00A20EC6" w:rsidRDefault="00E27AEF" w:rsidP="00E27AEF">
            <w:pPr>
              <w:pStyle w:val="ChartBodyLeft"/>
            </w:pPr>
            <w:r w:rsidRPr="00A20EC6">
              <w:t xml:space="preserve">1. </w:t>
            </w:r>
          </w:p>
          <w:p w:rsidR="00E27AEF" w:rsidRPr="00A20EC6" w:rsidRDefault="00E27AEF" w:rsidP="00E27AEF">
            <w:pPr>
              <w:pStyle w:val="ChartBodyLeft"/>
            </w:pPr>
          </w:p>
          <w:p w:rsidR="00E27AEF" w:rsidRPr="00A20EC6" w:rsidRDefault="00E27AEF" w:rsidP="00E27AEF">
            <w:pPr>
              <w:pStyle w:val="ChartBodyLeft"/>
            </w:pPr>
          </w:p>
          <w:p w:rsidR="00E27AEF" w:rsidRPr="00A20EC6" w:rsidRDefault="00E27AEF" w:rsidP="00E27AEF">
            <w:pPr>
              <w:pStyle w:val="ChartBodyLeft"/>
            </w:pPr>
          </w:p>
          <w:p w:rsidR="00E27AEF" w:rsidRPr="00A20EC6" w:rsidRDefault="00E27AEF" w:rsidP="00E27AEF">
            <w:pPr>
              <w:pStyle w:val="ChartBodyLeft"/>
            </w:pPr>
          </w:p>
          <w:p w:rsidR="00E27AEF" w:rsidRDefault="00E27AEF" w:rsidP="00E27AEF">
            <w:pPr>
              <w:pStyle w:val="ChartBodyLeft"/>
            </w:pPr>
          </w:p>
          <w:p w:rsidR="00E27AEF" w:rsidRPr="00A20EC6" w:rsidRDefault="00E27AEF" w:rsidP="00E27AEF">
            <w:pPr>
              <w:pStyle w:val="ChartBodyLeft"/>
            </w:pPr>
          </w:p>
          <w:p w:rsidR="00E27AEF" w:rsidRPr="00A20EC6" w:rsidRDefault="00E27AEF" w:rsidP="00E27AEF">
            <w:pPr>
              <w:pStyle w:val="ChartBodyLeft"/>
            </w:pPr>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rsidR="00E27AEF" w:rsidRPr="00A20EC6" w:rsidRDefault="00E27AEF" w:rsidP="00E27AEF">
            <w:pPr>
              <w:pStyle w:val="ChartBodyLeft"/>
            </w:pPr>
            <w:r w:rsidRPr="00A20EC6">
              <w:t>1.</w:t>
            </w:r>
          </w:p>
        </w:tc>
      </w:tr>
      <w:tr w:rsidR="00E27AEF" w:rsidRPr="00A20EC6" w:rsidTr="007C045C">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rsidR="00E27AEF" w:rsidRPr="00A20EC6" w:rsidRDefault="00E27AEF" w:rsidP="00E27AEF">
            <w:pPr>
              <w:pStyle w:val="ChartBodyLeft"/>
            </w:pPr>
            <w:r w:rsidRPr="00A20EC6">
              <w:t>2.</w:t>
            </w:r>
          </w:p>
          <w:p w:rsidR="00E27AEF" w:rsidRPr="00A20EC6" w:rsidRDefault="00E27AEF" w:rsidP="00E27AEF">
            <w:pPr>
              <w:pStyle w:val="ChartBodyLeft"/>
            </w:pPr>
          </w:p>
          <w:p w:rsidR="00E27AEF" w:rsidRPr="00A20EC6" w:rsidRDefault="00E27AEF" w:rsidP="00E27AEF">
            <w:pPr>
              <w:pStyle w:val="ChartBodyLeft"/>
            </w:pPr>
          </w:p>
          <w:p w:rsidR="00E27AEF" w:rsidRPr="00A20EC6" w:rsidRDefault="00E27AEF" w:rsidP="00E27AEF">
            <w:pPr>
              <w:pStyle w:val="ChartBodyLeft"/>
            </w:pPr>
          </w:p>
          <w:p w:rsidR="00E27AEF" w:rsidRDefault="00E27AEF" w:rsidP="00E27AEF">
            <w:pPr>
              <w:pStyle w:val="ChartBodyLeft"/>
            </w:pPr>
          </w:p>
          <w:p w:rsidR="00E27AEF" w:rsidRPr="00A20EC6" w:rsidRDefault="00E27AEF" w:rsidP="00E27AEF">
            <w:pPr>
              <w:pStyle w:val="ChartBodyLeft"/>
            </w:pPr>
          </w:p>
          <w:p w:rsidR="00E27AEF" w:rsidRPr="00A20EC6" w:rsidRDefault="00E27AEF" w:rsidP="00E27AEF">
            <w:pPr>
              <w:pStyle w:val="ChartBodyLeft"/>
            </w:pPr>
          </w:p>
          <w:p w:rsidR="00E27AEF" w:rsidRPr="00A20EC6" w:rsidRDefault="00E27AEF" w:rsidP="00E27AEF">
            <w:pPr>
              <w:pStyle w:val="ChartBodyLeft"/>
            </w:pPr>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rsidR="00E27AEF" w:rsidRPr="00A20EC6" w:rsidRDefault="00E27AEF" w:rsidP="00E27AEF">
            <w:pPr>
              <w:pStyle w:val="ChartBodyLeft"/>
            </w:pPr>
            <w:r w:rsidRPr="00A20EC6">
              <w:t>2.</w:t>
            </w:r>
          </w:p>
        </w:tc>
      </w:tr>
      <w:tr w:rsidR="00E27AEF" w:rsidRPr="00A20EC6" w:rsidTr="007C045C">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rsidR="00E27AEF" w:rsidRPr="00A20EC6" w:rsidRDefault="00E27AEF" w:rsidP="00E27AEF">
            <w:pPr>
              <w:pStyle w:val="ChartBodyLeft"/>
            </w:pPr>
            <w:r w:rsidRPr="00A20EC6">
              <w:t>3.</w:t>
            </w:r>
          </w:p>
          <w:p w:rsidR="00E27AEF" w:rsidRPr="00A20EC6" w:rsidRDefault="00E27AEF" w:rsidP="00E27AEF">
            <w:pPr>
              <w:pStyle w:val="ChartBodyLeft"/>
            </w:pPr>
          </w:p>
          <w:p w:rsidR="00E27AEF" w:rsidRPr="00A20EC6" w:rsidRDefault="00E27AEF" w:rsidP="00E27AEF">
            <w:pPr>
              <w:pStyle w:val="ChartBodyLeft"/>
            </w:pPr>
          </w:p>
          <w:p w:rsidR="00E27AEF" w:rsidRDefault="00E27AEF" w:rsidP="00E27AEF">
            <w:pPr>
              <w:pStyle w:val="ChartBodyLeft"/>
            </w:pPr>
          </w:p>
          <w:p w:rsidR="00E27AEF" w:rsidRPr="00A20EC6" w:rsidRDefault="00E27AEF" w:rsidP="00E27AEF">
            <w:pPr>
              <w:pStyle w:val="ChartBodyLeft"/>
            </w:pPr>
          </w:p>
          <w:p w:rsidR="00E27AEF" w:rsidRPr="00A20EC6" w:rsidRDefault="00E27AEF" w:rsidP="00E27AEF">
            <w:pPr>
              <w:pStyle w:val="ChartBodyLeft"/>
            </w:pPr>
          </w:p>
          <w:p w:rsidR="00E27AEF" w:rsidRPr="00A20EC6" w:rsidRDefault="00E27AEF" w:rsidP="00E27AEF">
            <w:pPr>
              <w:pStyle w:val="ChartBodyLeft"/>
            </w:pPr>
          </w:p>
          <w:p w:rsidR="00E27AEF" w:rsidRPr="00A20EC6" w:rsidRDefault="00E27AEF" w:rsidP="00E27AEF">
            <w:pPr>
              <w:pStyle w:val="ChartBodyLeft"/>
            </w:pPr>
          </w:p>
          <w:p w:rsidR="00E27AEF" w:rsidRPr="00A20EC6" w:rsidRDefault="00E27AEF" w:rsidP="00E27AEF">
            <w:pPr>
              <w:pStyle w:val="ChartBodyLeft"/>
            </w:pPr>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rsidR="00E27AEF" w:rsidRPr="00A20EC6" w:rsidRDefault="00E27AEF" w:rsidP="00E27AEF">
            <w:pPr>
              <w:pStyle w:val="ChartBodyLeft"/>
            </w:pPr>
            <w:r w:rsidRPr="00A20EC6">
              <w:lastRenderedPageBreak/>
              <w:t>3.</w:t>
            </w:r>
          </w:p>
        </w:tc>
      </w:tr>
    </w:tbl>
    <w:p w:rsidR="00E27AEF" w:rsidRDefault="00E27AEF" w:rsidP="00E27AEF"/>
    <w:p w:rsidR="00E27AEF" w:rsidRDefault="000635D5" w:rsidP="00E27AEF">
      <w:proofErr w:type="spellStart"/>
      <w:proofErr w:type="gramStart"/>
      <w:r w:rsidRPr="000635D5">
        <w:t>Commentaires</w:t>
      </w:r>
      <w:proofErr w:type="spellEnd"/>
      <w:r w:rsidRPr="000635D5">
        <w:t xml:space="preserve"> :</w:t>
      </w:r>
      <w:proofErr w:type="gramEnd"/>
    </w:p>
    <w:p w:rsidR="00E27AEF" w:rsidRDefault="00E27AEF" w:rsidP="00E27AEF"/>
    <w:p w:rsidR="00E27AEF" w:rsidRPr="000635D5" w:rsidRDefault="000635D5" w:rsidP="008E7B03">
      <w:pPr>
        <w:pStyle w:val="Heading3"/>
        <w:rPr>
          <w:color w:val="003A5B" w:themeColor="text2"/>
          <w:lang w:val="en-US"/>
        </w:rPr>
      </w:pPr>
      <w:r w:rsidRPr="000635D5">
        <w:rPr>
          <w:color w:val="003A5B" w:themeColor="text2"/>
          <w:lang w:val="en-US"/>
        </w:rPr>
        <w:t>COTES D’ÉVALUATION</w:t>
      </w:r>
    </w:p>
    <w:p w:rsidR="00E27AEF" w:rsidRPr="000635D5" w:rsidRDefault="000635D5" w:rsidP="00E27AEF">
      <w:pPr>
        <w:pStyle w:val="ListParagraph"/>
        <w:numPr>
          <w:ilvl w:val="0"/>
          <w:numId w:val="21"/>
        </w:numPr>
        <w:rPr>
          <w:b/>
          <w:sz w:val="23"/>
          <w:szCs w:val="23"/>
          <w:lang w:val="fr-CA"/>
        </w:rPr>
      </w:pPr>
      <w:r>
        <w:rPr>
          <w:b/>
          <w:bCs/>
          <w:sz w:val="23"/>
          <w:szCs w:val="23"/>
          <w:lang w:val="fr-CA"/>
        </w:rPr>
        <w:t xml:space="preserve">Cerne </w:t>
      </w:r>
      <w:r w:rsidRPr="000635D5">
        <w:rPr>
          <w:b/>
          <w:bCs/>
          <w:sz w:val="23"/>
          <w:szCs w:val="23"/>
          <w:lang w:val="fr-CA"/>
        </w:rPr>
        <w:t>les besoins en matière de santé en temps opportun.</w:t>
      </w:r>
    </w:p>
    <w:p w:rsidR="00E27AEF" w:rsidRPr="000635D5" w:rsidRDefault="002666E9" w:rsidP="002666E9">
      <w:pPr>
        <w:spacing w:after="0"/>
        <w:ind w:left="1440" w:hanging="720"/>
        <w:rPr>
          <w:sz w:val="23"/>
          <w:szCs w:val="23"/>
          <w:lang w:val="fr-CA"/>
        </w:rPr>
      </w:pPr>
      <w:r w:rsidRPr="0059389E">
        <w:rPr>
          <w:sz w:val="23"/>
          <w:szCs w:val="23"/>
          <w:lang w:val="fr-CA"/>
        </w:rPr>
        <w:t xml:space="preserve">1. </w:t>
      </w:r>
      <w:r w:rsidRPr="0059389E">
        <w:rPr>
          <w:sz w:val="23"/>
          <w:szCs w:val="23"/>
          <w:lang w:val="fr-CA"/>
        </w:rPr>
        <w:tab/>
      </w:r>
      <w:r w:rsidR="000635D5" w:rsidRPr="000635D5">
        <w:rPr>
          <w:sz w:val="23"/>
          <w:szCs w:val="23"/>
          <w:lang w:val="fr-CA"/>
        </w:rPr>
        <w:t>Ne reconnaît pas la nécessité d’activités de promotion de la santé ni l’incidence des obstacles nuisant à l’état de santé actuel ou éventuel du patient.</w:t>
      </w:r>
    </w:p>
    <w:p w:rsidR="00E27AEF" w:rsidRPr="000635D5" w:rsidRDefault="002666E9" w:rsidP="002666E9">
      <w:pPr>
        <w:spacing w:after="0"/>
        <w:ind w:left="1440" w:hanging="720"/>
        <w:rPr>
          <w:sz w:val="23"/>
          <w:szCs w:val="23"/>
          <w:lang w:val="fr-CA"/>
        </w:rPr>
      </w:pPr>
      <w:r w:rsidRPr="0059389E">
        <w:rPr>
          <w:sz w:val="23"/>
          <w:szCs w:val="23"/>
          <w:lang w:val="fr-CA"/>
        </w:rPr>
        <w:t xml:space="preserve">3. </w:t>
      </w:r>
      <w:r w:rsidRPr="0059389E">
        <w:rPr>
          <w:sz w:val="23"/>
          <w:szCs w:val="23"/>
          <w:lang w:val="fr-CA"/>
        </w:rPr>
        <w:tab/>
      </w:r>
      <w:r w:rsidR="000635D5" w:rsidRPr="000635D5">
        <w:rPr>
          <w:sz w:val="23"/>
          <w:szCs w:val="23"/>
          <w:lang w:val="fr-CA"/>
        </w:rPr>
        <w:t>Réagit aux demandes d’interventions ou d’activités visant à gérer les obstacles en temps opportun et de façon appropriée. Réagit aux préférences et aux valeurs des patients lorsque le sujet est abordé.</w:t>
      </w:r>
    </w:p>
    <w:p w:rsidR="00E27AEF" w:rsidRPr="000635D5" w:rsidRDefault="002666E9" w:rsidP="002666E9">
      <w:pPr>
        <w:ind w:left="1440" w:hanging="720"/>
        <w:rPr>
          <w:sz w:val="23"/>
          <w:szCs w:val="23"/>
          <w:lang w:val="fr-CA"/>
        </w:rPr>
      </w:pPr>
      <w:r w:rsidRPr="0059389E">
        <w:rPr>
          <w:sz w:val="23"/>
          <w:szCs w:val="23"/>
          <w:lang w:val="fr-CA"/>
        </w:rPr>
        <w:t xml:space="preserve">5. </w:t>
      </w:r>
      <w:r w:rsidRPr="0059389E">
        <w:rPr>
          <w:sz w:val="23"/>
          <w:szCs w:val="23"/>
          <w:lang w:val="fr-CA"/>
        </w:rPr>
        <w:tab/>
      </w:r>
      <w:r w:rsidR="000635D5" w:rsidRPr="000635D5">
        <w:rPr>
          <w:sz w:val="23"/>
          <w:szCs w:val="23"/>
          <w:lang w:val="fr-CA"/>
        </w:rPr>
        <w:t>la nécessité d’activités de promotion de la santé par ses discussions avec le patient et l’équipe. Cerne les besoins, les préférences et les valeurs du patient avec efficacité et sensibilité</w:t>
      </w:r>
    </w:p>
    <w:p w:rsidR="00E27AEF" w:rsidRPr="000635D5" w:rsidRDefault="000635D5" w:rsidP="002666E9">
      <w:pPr>
        <w:pStyle w:val="ListParagraph"/>
        <w:numPr>
          <w:ilvl w:val="0"/>
          <w:numId w:val="21"/>
        </w:numPr>
        <w:rPr>
          <w:b/>
          <w:sz w:val="23"/>
          <w:szCs w:val="23"/>
          <w:lang w:val="fr-CA"/>
        </w:rPr>
      </w:pPr>
      <w:r w:rsidRPr="000635D5">
        <w:rPr>
          <w:rFonts w:cs="AGaramondPro-Bold"/>
          <w:b/>
          <w:bCs/>
          <w:sz w:val="23"/>
          <w:szCs w:val="23"/>
          <w:lang w:val="fr-CA"/>
        </w:rPr>
        <w:t>Met l’accent sur les besoins, les préférences et les valeurs des patients en matière de santé.</w:t>
      </w:r>
    </w:p>
    <w:p w:rsidR="00E27AEF" w:rsidRPr="000635D5" w:rsidRDefault="002666E9" w:rsidP="002666E9">
      <w:pPr>
        <w:spacing w:after="0"/>
        <w:ind w:left="1440" w:hanging="720"/>
        <w:rPr>
          <w:sz w:val="23"/>
          <w:szCs w:val="23"/>
          <w:lang w:val="fr-CA"/>
        </w:rPr>
      </w:pPr>
      <w:r w:rsidRPr="0059389E">
        <w:rPr>
          <w:sz w:val="23"/>
          <w:szCs w:val="23"/>
          <w:lang w:val="fr-CA"/>
        </w:rPr>
        <w:t xml:space="preserve">1. </w:t>
      </w:r>
      <w:r w:rsidRPr="0059389E">
        <w:rPr>
          <w:sz w:val="23"/>
          <w:szCs w:val="23"/>
          <w:lang w:val="fr-CA"/>
        </w:rPr>
        <w:tab/>
      </w:r>
      <w:r w:rsidR="000635D5" w:rsidRPr="000635D5">
        <w:rPr>
          <w:sz w:val="23"/>
          <w:szCs w:val="23"/>
          <w:lang w:val="fr-CA"/>
        </w:rPr>
        <w:t>Ne met l’accent que sur les priorités des médecins ou du système. Laisse le patient orienter les discussions lorsque cela n’est pas approprié et sans égard aux volontés et références.</w:t>
      </w:r>
    </w:p>
    <w:p w:rsidR="00E27AEF" w:rsidRPr="000635D5" w:rsidRDefault="002666E9" w:rsidP="002666E9">
      <w:pPr>
        <w:spacing w:after="0"/>
        <w:ind w:left="1440" w:hanging="720"/>
        <w:rPr>
          <w:sz w:val="23"/>
          <w:szCs w:val="23"/>
          <w:lang w:val="fr-CA"/>
        </w:rPr>
      </w:pPr>
      <w:r w:rsidRPr="0059389E">
        <w:rPr>
          <w:sz w:val="23"/>
          <w:szCs w:val="23"/>
          <w:lang w:val="fr-CA"/>
        </w:rPr>
        <w:t xml:space="preserve">3. </w:t>
      </w:r>
      <w:r w:rsidRPr="0059389E">
        <w:rPr>
          <w:sz w:val="23"/>
          <w:szCs w:val="23"/>
          <w:lang w:val="fr-CA"/>
        </w:rPr>
        <w:tab/>
      </w:r>
      <w:r w:rsidR="000635D5" w:rsidRPr="000635D5">
        <w:rPr>
          <w:sz w:val="23"/>
          <w:szCs w:val="23"/>
          <w:lang w:val="fr-CA"/>
        </w:rPr>
        <w:t>Se soucie du patient. Répond de façon plutôt mécanique aux questions du patient. Démontre un souci et une attention envers les besoins, les préférences et les valeurs du patient.</w:t>
      </w:r>
    </w:p>
    <w:p w:rsidR="00E27AEF" w:rsidRPr="006D5F37" w:rsidRDefault="002666E9" w:rsidP="002666E9">
      <w:pPr>
        <w:ind w:left="1440" w:hanging="720"/>
        <w:rPr>
          <w:sz w:val="23"/>
          <w:szCs w:val="23"/>
        </w:rPr>
      </w:pPr>
      <w:r w:rsidRPr="0059389E">
        <w:rPr>
          <w:sz w:val="23"/>
          <w:szCs w:val="23"/>
          <w:lang w:val="fr-CA"/>
        </w:rPr>
        <w:t xml:space="preserve">5. </w:t>
      </w:r>
      <w:r w:rsidRPr="0059389E">
        <w:rPr>
          <w:sz w:val="23"/>
          <w:szCs w:val="23"/>
          <w:lang w:val="fr-CA"/>
        </w:rPr>
        <w:tab/>
      </w:r>
      <w:r w:rsidR="000635D5" w:rsidRPr="000635D5">
        <w:rPr>
          <w:sz w:val="23"/>
          <w:szCs w:val="23"/>
          <w:lang w:val="fr-CA"/>
        </w:rPr>
        <w:t xml:space="preserve">Anticipe habilement les besoins et les questions du patient. Réagit avec efficacité aux besoins, préférences et valeurs du patient. </w:t>
      </w:r>
      <w:proofErr w:type="spellStart"/>
      <w:r w:rsidR="000635D5" w:rsidRPr="000635D5">
        <w:rPr>
          <w:sz w:val="23"/>
          <w:szCs w:val="23"/>
        </w:rPr>
        <w:t>Négocie</w:t>
      </w:r>
      <w:proofErr w:type="spellEnd"/>
      <w:r w:rsidR="000635D5" w:rsidRPr="000635D5">
        <w:rPr>
          <w:sz w:val="23"/>
          <w:szCs w:val="23"/>
        </w:rPr>
        <w:t xml:space="preserve">, </w:t>
      </w:r>
      <w:proofErr w:type="spellStart"/>
      <w:r w:rsidR="000635D5" w:rsidRPr="000635D5">
        <w:rPr>
          <w:sz w:val="23"/>
          <w:szCs w:val="23"/>
        </w:rPr>
        <w:t>gère</w:t>
      </w:r>
      <w:proofErr w:type="spellEnd"/>
      <w:r w:rsidR="000635D5" w:rsidRPr="000635D5">
        <w:rPr>
          <w:sz w:val="23"/>
          <w:szCs w:val="23"/>
        </w:rPr>
        <w:t xml:space="preserve"> et </w:t>
      </w:r>
      <w:proofErr w:type="spellStart"/>
      <w:r w:rsidR="000635D5" w:rsidRPr="000635D5">
        <w:rPr>
          <w:sz w:val="23"/>
          <w:szCs w:val="23"/>
        </w:rPr>
        <w:t>clarifie</w:t>
      </w:r>
      <w:proofErr w:type="spellEnd"/>
      <w:r w:rsidR="000635D5" w:rsidRPr="000635D5">
        <w:rPr>
          <w:sz w:val="23"/>
          <w:szCs w:val="23"/>
        </w:rPr>
        <w:t xml:space="preserve"> les divergences.</w:t>
      </w:r>
    </w:p>
    <w:p w:rsidR="00E27AEF" w:rsidRPr="000635D5" w:rsidRDefault="000635D5" w:rsidP="002666E9">
      <w:pPr>
        <w:pStyle w:val="ListParagraph"/>
        <w:numPr>
          <w:ilvl w:val="0"/>
          <w:numId w:val="21"/>
        </w:numPr>
        <w:rPr>
          <w:b/>
          <w:sz w:val="23"/>
          <w:szCs w:val="23"/>
          <w:lang w:val="fr-CA"/>
        </w:rPr>
      </w:pPr>
      <w:r w:rsidRPr="000635D5">
        <w:rPr>
          <w:rFonts w:cs="AGaramondPro-Bold"/>
          <w:b/>
          <w:bCs/>
          <w:sz w:val="23"/>
          <w:szCs w:val="23"/>
          <w:lang w:val="fr-CA"/>
        </w:rPr>
        <w:t>Collabore avec le patient, les autres professionnels de la santé et les organismes de promotion de la santé.</w:t>
      </w:r>
    </w:p>
    <w:p w:rsidR="00E27AEF" w:rsidRPr="000635D5" w:rsidRDefault="002666E9" w:rsidP="000635D5">
      <w:pPr>
        <w:spacing w:after="0"/>
        <w:ind w:left="1440" w:hanging="720"/>
        <w:rPr>
          <w:sz w:val="23"/>
          <w:szCs w:val="23"/>
          <w:lang w:val="fr-CA"/>
        </w:rPr>
      </w:pPr>
      <w:r w:rsidRPr="0059389E">
        <w:rPr>
          <w:sz w:val="23"/>
          <w:szCs w:val="23"/>
          <w:lang w:val="fr-CA"/>
        </w:rPr>
        <w:t xml:space="preserve">1. </w:t>
      </w:r>
      <w:r w:rsidRPr="0059389E">
        <w:rPr>
          <w:sz w:val="23"/>
          <w:szCs w:val="23"/>
          <w:lang w:val="fr-CA"/>
        </w:rPr>
        <w:tab/>
      </w:r>
      <w:r w:rsidR="000635D5" w:rsidRPr="000635D5">
        <w:rPr>
          <w:sz w:val="23"/>
          <w:szCs w:val="23"/>
          <w:lang w:val="fr-CA"/>
        </w:rPr>
        <w:t>Est à la limite de l’impolitesse, ou se montre autoritaire, ou fait montre d’une déférence exagérée.</w:t>
      </w:r>
    </w:p>
    <w:p w:rsidR="00E27AEF" w:rsidRPr="000635D5" w:rsidRDefault="002666E9" w:rsidP="002666E9">
      <w:pPr>
        <w:spacing w:after="0"/>
        <w:ind w:left="1440" w:hanging="720"/>
        <w:rPr>
          <w:sz w:val="23"/>
          <w:szCs w:val="23"/>
          <w:lang w:val="fr-CA"/>
        </w:rPr>
      </w:pPr>
      <w:r w:rsidRPr="0059389E">
        <w:rPr>
          <w:sz w:val="23"/>
          <w:szCs w:val="23"/>
          <w:lang w:val="fr-CA"/>
        </w:rPr>
        <w:t xml:space="preserve">3. </w:t>
      </w:r>
      <w:r w:rsidRPr="0059389E">
        <w:rPr>
          <w:sz w:val="23"/>
          <w:szCs w:val="23"/>
          <w:lang w:val="fr-CA"/>
        </w:rPr>
        <w:tab/>
      </w:r>
      <w:r w:rsidR="000635D5" w:rsidRPr="0059389E">
        <w:rPr>
          <w:sz w:val="23"/>
          <w:szCs w:val="23"/>
          <w:lang w:val="fr-CA"/>
        </w:rPr>
        <w:t xml:space="preserve">Est poli. Transmet l’information. </w:t>
      </w:r>
      <w:r w:rsidR="000635D5" w:rsidRPr="000635D5">
        <w:rPr>
          <w:sz w:val="23"/>
          <w:szCs w:val="23"/>
          <w:lang w:val="fr-CA"/>
        </w:rPr>
        <w:t>Sait reconnaître la nécessité de demander de l’aide. Communique de l’information claire, complète et opportune. Répond aux demandes des autres et accepte volontiers d’offrir de la rétroaction.</w:t>
      </w:r>
    </w:p>
    <w:p w:rsidR="000635D5" w:rsidRPr="000635D5" w:rsidRDefault="002666E9" w:rsidP="000635D5">
      <w:pPr>
        <w:ind w:left="1440" w:hanging="720"/>
        <w:rPr>
          <w:sz w:val="23"/>
          <w:szCs w:val="23"/>
          <w:lang w:val="en-US"/>
        </w:rPr>
      </w:pPr>
      <w:r w:rsidRPr="0059389E">
        <w:rPr>
          <w:sz w:val="23"/>
          <w:szCs w:val="23"/>
          <w:lang w:val="fr-CA"/>
        </w:rPr>
        <w:t xml:space="preserve">5. </w:t>
      </w:r>
      <w:r w:rsidRPr="0059389E">
        <w:rPr>
          <w:sz w:val="23"/>
          <w:szCs w:val="23"/>
          <w:lang w:val="fr-CA"/>
        </w:rPr>
        <w:tab/>
      </w:r>
      <w:r w:rsidR="000635D5" w:rsidRPr="000635D5">
        <w:rPr>
          <w:sz w:val="23"/>
          <w:szCs w:val="23"/>
          <w:lang w:val="fr-CA"/>
        </w:rPr>
        <w:t xml:space="preserve">Résume et priorise l’information. Communique très bien tant verbalement que par écrit. Dirige, suit, coordonne et délègue de façon respectueuse et appropriée. </w:t>
      </w:r>
      <w:proofErr w:type="spellStart"/>
      <w:r w:rsidR="000635D5" w:rsidRPr="000635D5">
        <w:rPr>
          <w:sz w:val="23"/>
          <w:szCs w:val="23"/>
          <w:lang w:val="en-US"/>
        </w:rPr>
        <w:t>Négocie</w:t>
      </w:r>
      <w:proofErr w:type="spellEnd"/>
      <w:r w:rsidR="000635D5" w:rsidRPr="000635D5">
        <w:rPr>
          <w:sz w:val="23"/>
          <w:szCs w:val="23"/>
          <w:lang w:val="en-US"/>
        </w:rPr>
        <w:t xml:space="preserve"> et </w:t>
      </w:r>
      <w:proofErr w:type="spellStart"/>
      <w:r w:rsidR="000635D5" w:rsidRPr="000635D5">
        <w:rPr>
          <w:sz w:val="23"/>
          <w:szCs w:val="23"/>
          <w:lang w:val="en-US"/>
        </w:rPr>
        <w:t>gère</w:t>
      </w:r>
      <w:proofErr w:type="spellEnd"/>
      <w:r w:rsidR="000635D5">
        <w:rPr>
          <w:sz w:val="23"/>
          <w:szCs w:val="23"/>
          <w:lang w:val="en-US"/>
        </w:rPr>
        <w:t xml:space="preserve"> </w:t>
      </w:r>
      <w:r w:rsidR="000635D5" w:rsidRPr="000635D5">
        <w:rPr>
          <w:sz w:val="23"/>
          <w:szCs w:val="23"/>
          <w:lang w:val="en-US"/>
        </w:rPr>
        <w:t xml:space="preserve">les </w:t>
      </w:r>
      <w:proofErr w:type="spellStart"/>
      <w:r w:rsidR="000635D5" w:rsidRPr="000635D5">
        <w:rPr>
          <w:sz w:val="23"/>
          <w:szCs w:val="23"/>
          <w:lang w:val="en-US"/>
        </w:rPr>
        <w:t>conflits</w:t>
      </w:r>
      <w:proofErr w:type="spellEnd"/>
      <w:r w:rsidR="000635D5" w:rsidRPr="000635D5">
        <w:rPr>
          <w:sz w:val="23"/>
          <w:szCs w:val="23"/>
          <w:lang w:val="en-US"/>
        </w:rPr>
        <w:t xml:space="preserve"> et les divergences.</w:t>
      </w:r>
    </w:p>
    <w:p w:rsidR="00E27AEF" w:rsidRPr="000635D5" w:rsidRDefault="000635D5" w:rsidP="000635D5">
      <w:pPr>
        <w:pStyle w:val="ListParagraph"/>
        <w:numPr>
          <w:ilvl w:val="0"/>
          <w:numId w:val="21"/>
        </w:numPr>
        <w:rPr>
          <w:rFonts w:cs="AGaramondPro-Bold"/>
          <w:b/>
          <w:bCs/>
          <w:sz w:val="23"/>
          <w:szCs w:val="23"/>
          <w:lang w:val="fr-CA"/>
        </w:rPr>
      </w:pPr>
      <w:r w:rsidRPr="000635D5">
        <w:rPr>
          <w:rFonts w:cs="AGaramondPro-Bold"/>
          <w:b/>
          <w:bCs/>
          <w:sz w:val="23"/>
          <w:szCs w:val="23"/>
          <w:lang w:val="fr-CA"/>
        </w:rPr>
        <w:lastRenderedPageBreak/>
        <w:t>Travaille avec le patient et sa famille.</w:t>
      </w:r>
    </w:p>
    <w:p w:rsidR="00E27AEF" w:rsidRPr="0059389E" w:rsidRDefault="002666E9" w:rsidP="002666E9">
      <w:pPr>
        <w:spacing w:after="0"/>
        <w:ind w:left="1440" w:hanging="720"/>
        <w:rPr>
          <w:sz w:val="23"/>
          <w:szCs w:val="23"/>
          <w:lang w:val="fr-CA"/>
        </w:rPr>
      </w:pPr>
      <w:r w:rsidRPr="000635D5">
        <w:rPr>
          <w:sz w:val="23"/>
          <w:szCs w:val="23"/>
          <w:lang w:val="fr-CA"/>
        </w:rPr>
        <w:t xml:space="preserve">1. </w:t>
      </w:r>
      <w:r w:rsidRPr="000635D5">
        <w:rPr>
          <w:sz w:val="23"/>
          <w:szCs w:val="23"/>
          <w:lang w:val="fr-CA"/>
        </w:rPr>
        <w:tab/>
      </w:r>
      <w:r w:rsidR="000635D5" w:rsidRPr="000635D5">
        <w:rPr>
          <w:sz w:val="23"/>
          <w:szCs w:val="23"/>
          <w:lang w:val="fr-CA"/>
        </w:rPr>
        <w:t xml:space="preserve">N’informe pas le patient et la famille des plans établis. Ne cherche pas à connaître les volontés des patients et familles. </w:t>
      </w:r>
      <w:r w:rsidR="000635D5" w:rsidRPr="0059389E">
        <w:rPr>
          <w:sz w:val="23"/>
          <w:szCs w:val="23"/>
          <w:lang w:val="fr-CA"/>
        </w:rPr>
        <w:t>Fournit de l’information erronée.</w:t>
      </w:r>
    </w:p>
    <w:p w:rsidR="00E27AEF" w:rsidRPr="000635D5" w:rsidRDefault="002666E9" w:rsidP="002666E9">
      <w:pPr>
        <w:spacing w:after="0"/>
        <w:ind w:left="1440" w:hanging="720"/>
        <w:rPr>
          <w:sz w:val="23"/>
          <w:szCs w:val="23"/>
          <w:lang w:val="fr-CA"/>
        </w:rPr>
      </w:pPr>
      <w:r w:rsidRPr="0059389E">
        <w:rPr>
          <w:sz w:val="23"/>
          <w:szCs w:val="23"/>
          <w:lang w:val="fr-CA"/>
        </w:rPr>
        <w:t xml:space="preserve">3. </w:t>
      </w:r>
      <w:r w:rsidRPr="0059389E">
        <w:rPr>
          <w:sz w:val="23"/>
          <w:szCs w:val="23"/>
          <w:lang w:val="fr-CA"/>
        </w:rPr>
        <w:tab/>
      </w:r>
      <w:r w:rsidR="000635D5" w:rsidRPr="000635D5">
        <w:rPr>
          <w:sz w:val="23"/>
          <w:szCs w:val="23"/>
          <w:lang w:val="fr-CA"/>
        </w:rPr>
        <w:t>Demande la perspective des patients et des familles. Est respectueux, établit un rapport avec les gens, communique les préoccupations du patient et de sa famille à l’équipe.</w:t>
      </w:r>
    </w:p>
    <w:p w:rsidR="00E27AEF" w:rsidRPr="000635D5" w:rsidRDefault="002666E9" w:rsidP="002666E9">
      <w:pPr>
        <w:ind w:left="1440" w:hanging="720"/>
        <w:rPr>
          <w:sz w:val="23"/>
          <w:szCs w:val="23"/>
          <w:lang w:val="fr-CA"/>
        </w:rPr>
      </w:pPr>
      <w:r w:rsidRPr="0059389E">
        <w:rPr>
          <w:sz w:val="23"/>
          <w:szCs w:val="23"/>
          <w:lang w:val="fr-CA"/>
        </w:rPr>
        <w:t xml:space="preserve">5. </w:t>
      </w:r>
      <w:r w:rsidRPr="0059389E">
        <w:rPr>
          <w:sz w:val="23"/>
          <w:szCs w:val="23"/>
          <w:lang w:val="fr-CA"/>
        </w:rPr>
        <w:tab/>
      </w:r>
      <w:r w:rsidR="000635D5" w:rsidRPr="000635D5">
        <w:rPr>
          <w:sz w:val="23"/>
          <w:szCs w:val="23"/>
          <w:lang w:val="fr-CA"/>
        </w:rPr>
        <w:t>Sait toujours communiquer de façon efficace avec les patients et les familles. Habile dans le domaine de la prise de décisions partagée. Fournit de l’information claire au patient. Négocie les divergences en respectant la confidentialité.</w:t>
      </w:r>
    </w:p>
    <w:p w:rsidR="00E27AEF" w:rsidRPr="000635D5" w:rsidRDefault="000635D5" w:rsidP="002666E9">
      <w:pPr>
        <w:pStyle w:val="ListParagraph"/>
        <w:numPr>
          <w:ilvl w:val="0"/>
          <w:numId w:val="21"/>
        </w:numPr>
        <w:rPr>
          <w:b/>
          <w:sz w:val="23"/>
          <w:szCs w:val="23"/>
          <w:lang w:val="fr-CA"/>
        </w:rPr>
      </w:pPr>
      <w:r w:rsidRPr="000635D5">
        <w:rPr>
          <w:rFonts w:cs="AGaramondPro-Bold"/>
          <w:b/>
          <w:bCs/>
          <w:sz w:val="23"/>
          <w:szCs w:val="23"/>
          <w:lang w:val="fr-CA"/>
        </w:rPr>
        <w:t>Sait établir un équilibre entre la promotion de la santé et la bonne gestion des ressources de la santé.</w:t>
      </w:r>
    </w:p>
    <w:p w:rsidR="00E27AEF" w:rsidRPr="000635D5" w:rsidRDefault="002666E9" w:rsidP="002666E9">
      <w:pPr>
        <w:spacing w:after="0"/>
        <w:ind w:left="1440" w:hanging="720"/>
        <w:rPr>
          <w:sz w:val="23"/>
          <w:szCs w:val="23"/>
          <w:lang w:val="fr-CA"/>
        </w:rPr>
      </w:pPr>
      <w:r w:rsidRPr="0059389E">
        <w:rPr>
          <w:sz w:val="23"/>
          <w:szCs w:val="23"/>
          <w:lang w:val="fr-CA"/>
        </w:rPr>
        <w:t xml:space="preserve">1. </w:t>
      </w:r>
      <w:r w:rsidRPr="0059389E">
        <w:rPr>
          <w:sz w:val="23"/>
          <w:szCs w:val="23"/>
          <w:lang w:val="fr-CA"/>
        </w:rPr>
        <w:tab/>
      </w:r>
      <w:r w:rsidR="000635D5" w:rsidRPr="000635D5">
        <w:rPr>
          <w:sz w:val="23"/>
          <w:szCs w:val="23"/>
          <w:lang w:val="fr-CA"/>
        </w:rPr>
        <w:t>Ne sait mettre l’accent que sur un rôle à la fois, négligeant certaines perspectives et nuisant à la détermination des meilleures solutions. Ne travaille pas avec les autres à chercher des solutions qui tiennent compte d’intérêts divergents.</w:t>
      </w:r>
    </w:p>
    <w:p w:rsidR="00E27AEF" w:rsidRPr="000635D5" w:rsidRDefault="002666E9" w:rsidP="002666E9">
      <w:pPr>
        <w:spacing w:after="0"/>
        <w:ind w:left="1440" w:hanging="720"/>
        <w:rPr>
          <w:sz w:val="23"/>
          <w:szCs w:val="23"/>
          <w:lang w:val="fr-CA"/>
        </w:rPr>
      </w:pPr>
      <w:r w:rsidRPr="000635D5">
        <w:rPr>
          <w:sz w:val="23"/>
          <w:szCs w:val="23"/>
          <w:lang w:val="fr-CA"/>
        </w:rPr>
        <w:t>3.</w:t>
      </w:r>
      <w:r w:rsidRPr="000635D5">
        <w:rPr>
          <w:sz w:val="23"/>
          <w:szCs w:val="23"/>
          <w:lang w:val="fr-CA"/>
        </w:rPr>
        <w:tab/>
      </w:r>
      <w:r w:rsidR="000635D5" w:rsidRPr="000635D5">
        <w:rPr>
          <w:sz w:val="23"/>
          <w:szCs w:val="23"/>
          <w:lang w:val="fr-CA"/>
        </w:rPr>
        <w:t xml:space="preserve">Reconnaît la nécessité d’établir un équilibre. Demande des conseils et de l’aide. Met en </w:t>
      </w:r>
      <w:proofErr w:type="spellStart"/>
      <w:r w:rsidR="000635D5" w:rsidRPr="000635D5">
        <w:rPr>
          <w:sz w:val="23"/>
          <w:szCs w:val="23"/>
          <w:lang w:val="fr-CA"/>
        </w:rPr>
        <w:t>oeuvre</w:t>
      </w:r>
      <w:proofErr w:type="spellEnd"/>
      <w:r w:rsidR="000635D5" w:rsidRPr="000635D5">
        <w:rPr>
          <w:sz w:val="23"/>
          <w:szCs w:val="23"/>
          <w:lang w:val="fr-CA"/>
        </w:rPr>
        <w:t xml:space="preserve"> des solutions qui tiennent compte d’intérêts divergents grâce à ses efforts et ceux des autres.</w:t>
      </w:r>
    </w:p>
    <w:p w:rsidR="00E27AEF" w:rsidRPr="000635D5" w:rsidRDefault="002666E9" w:rsidP="002666E9">
      <w:pPr>
        <w:spacing w:after="0"/>
        <w:ind w:left="1440" w:hanging="720"/>
        <w:rPr>
          <w:sz w:val="23"/>
          <w:szCs w:val="23"/>
          <w:lang w:val="fr-CA"/>
        </w:rPr>
      </w:pPr>
      <w:r w:rsidRPr="0059389E">
        <w:rPr>
          <w:sz w:val="23"/>
          <w:szCs w:val="23"/>
          <w:lang w:val="fr-CA"/>
        </w:rPr>
        <w:t xml:space="preserve">5. </w:t>
      </w:r>
      <w:r w:rsidRPr="0059389E">
        <w:rPr>
          <w:sz w:val="23"/>
          <w:szCs w:val="23"/>
          <w:lang w:val="fr-CA"/>
        </w:rPr>
        <w:tab/>
      </w:r>
      <w:r w:rsidR="000635D5" w:rsidRPr="000635D5">
        <w:rPr>
          <w:sz w:val="23"/>
          <w:szCs w:val="23"/>
          <w:lang w:val="fr-CA"/>
        </w:rPr>
        <w:t>Est toujours en mesure de tenir compte de perspectives, de priorités et d’intérêts divergents de façon efficace et en collaboration, afin que tous puissent en venir à un consensus ou accepter les solutions proposées.</w:t>
      </w:r>
    </w:p>
    <w:p w:rsidR="00E27AEF" w:rsidRPr="000635D5" w:rsidRDefault="00E27AEF" w:rsidP="00E27AEF">
      <w:pPr>
        <w:rPr>
          <w:sz w:val="22"/>
          <w:lang w:val="fr-CA"/>
        </w:rPr>
      </w:pPr>
    </w:p>
    <w:sectPr w:rsidR="00E27AEF" w:rsidRPr="000635D5" w:rsidSect="00E27AE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GaramondPro-Bold">
    <w:charset w:val="00"/>
    <w:family w:val="auto"/>
    <w:pitch w:val="variable"/>
    <w:sig w:usb0="00000007" w:usb1="00000001"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Frutiger-LightC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89E" w:rsidRDefault="00593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59389E" w:rsidRDefault="009E2429">
    <w:pPr>
      <w:pStyle w:val="Footer"/>
      <w:jc w:val="center"/>
      <w:rPr>
        <w:b/>
        <w:sz w:val="18"/>
        <w:szCs w:val="18"/>
        <w:lang w:val="fr-CA"/>
      </w:rPr>
    </w:pPr>
    <w:r>
      <w:rPr>
        <w:noProof/>
      </w:rPr>
      <mc:AlternateContent>
        <mc:Choice Requires="wps">
          <w:drawing>
            <wp:anchor distT="0" distB="0" distL="114300" distR="114300" simplePos="0" relativeHeight="251659264" behindDoc="0" locked="0" layoutInCell="1" allowOverlap="1">
              <wp:simplePos x="0" y="0"/>
              <wp:positionH relativeFrom="column">
                <wp:posOffset>3316605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EF5332" id="Rectangle 3" o:spid="_x0000_s1026" style="position:absolute;margin-left:261.1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59389E">
      <w:rPr>
        <w:b/>
        <w:sz w:val="18"/>
        <w:szCs w:val="18"/>
        <w:lang w:val="fr-CA"/>
      </w:rPr>
      <w:instrText xml:space="preserve"> PAGE   \* MERGEFORMAT </w:instrText>
    </w:r>
    <w:r w:rsidR="002802DD" w:rsidRPr="00813420">
      <w:rPr>
        <w:b/>
        <w:sz w:val="18"/>
        <w:szCs w:val="18"/>
      </w:rPr>
      <w:fldChar w:fldCharType="separate"/>
    </w:r>
    <w:r w:rsidR="00FB077A" w:rsidRPr="0059389E">
      <w:rPr>
        <w:b/>
        <w:noProof/>
        <w:sz w:val="18"/>
        <w:szCs w:val="18"/>
        <w:lang w:val="fr-CA"/>
      </w:rPr>
      <w:t>5</w:t>
    </w:r>
    <w:r w:rsidR="002802DD" w:rsidRPr="00813420">
      <w:rPr>
        <w:b/>
        <w:noProof/>
        <w:sz w:val="18"/>
        <w:szCs w:val="18"/>
      </w:rPr>
      <w:fldChar w:fldCharType="end"/>
    </w:r>
    <w:r w:rsidR="00CF104E" w:rsidRPr="0059389E">
      <w:rPr>
        <w:b/>
        <w:noProof/>
        <w:sz w:val="18"/>
        <w:szCs w:val="18"/>
        <w:lang w:val="fr-CA"/>
      </w:rPr>
      <w:br/>
    </w:r>
  </w:p>
  <w:p w:rsidR="00066F69" w:rsidRPr="00066F69" w:rsidRDefault="00066F69" w:rsidP="00066F69">
    <w:pPr>
      <w:pStyle w:val="BasicParagraph"/>
      <w:jc w:val="center"/>
      <w:rPr>
        <w:rFonts w:asciiTheme="minorHAnsi" w:hAnsiTheme="minorHAnsi" w:cstheme="minorHAnsi"/>
        <w:bCs/>
        <w:color w:val="003A5B" w:themeColor="text2"/>
        <w:sz w:val="14"/>
        <w:szCs w:val="14"/>
        <w:lang w:val="fr-CA"/>
      </w:rPr>
    </w:pPr>
    <w:r w:rsidRPr="00066F69">
      <w:rPr>
        <w:rFonts w:asciiTheme="minorHAnsi" w:hAnsiTheme="minorHAnsi" w:cstheme="minorHAnsi"/>
        <w:color w:val="003A5B" w:themeColor="text2"/>
        <w:sz w:val="14"/>
        <w:szCs w:val="14"/>
        <w:lang w:val="fr-CA"/>
      </w:rPr>
      <w:t>Outils d’enseignement –</w:t>
    </w:r>
    <w:r>
      <w:rPr>
        <w:rFonts w:asciiTheme="minorHAnsi" w:hAnsiTheme="minorHAnsi" w:cstheme="minorHAnsi"/>
        <w:color w:val="003A5B" w:themeColor="text2"/>
        <w:sz w:val="14"/>
        <w:szCs w:val="14"/>
        <w:lang w:val="fr-CA"/>
      </w:rPr>
      <w:t xml:space="preserve"> </w:t>
    </w:r>
    <w:r w:rsidRPr="00066F69">
      <w:rPr>
        <w:rFonts w:asciiTheme="minorHAnsi" w:hAnsiTheme="minorHAnsi" w:cstheme="minorHAnsi"/>
        <w:color w:val="003A5B" w:themeColor="text2"/>
        <w:sz w:val="14"/>
        <w:szCs w:val="14"/>
        <w:lang w:val="fr-CA"/>
      </w:rPr>
      <w:t xml:space="preserve">Promoteur de la santé </w:t>
    </w:r>
    <w:r w:rsidR="0059389E" w:rsidRPr="0059389E">
      <w:rPr>
        <w:rFonts w:asciiTheme="minorHAnsi" w:hAnsiTheme="minorHAnsi" w:cstheme="minorHAnsi"/>
        <w:color w:val="003A5B" w:themeColor="text2"/>
        <w:sz w:val="14"/>
        <w:szCs w:val="14"/>
        <w:lang w:val="fr-CA"/>
      </w:rPr>
      <w:t xml:space="preserve">É1. </w:t>
    </w:r>
    <w:r w:rsidR="0059389E" w:rsidRPr="0059389E">
      <w:rPr>
        <w:rFonts w:asciiTheme="minorHAnsi" w:hAnsiTheme="minorHAnsi" w:cstheme="minorHAnsi"/>
        <w:color w:val="003A5B" w:themeColor="text2"/>
        <w:sz w:val="14"/>
        <w:szCs w:val="14"/>
        <w:lang w:val="fr-CA"/>
      </w:rPr>
      <w:t xml:space="preserve">Rétroaction </w:t>
    </w:r>
    <w:proofErr w:type="spellStart"/>
    <w:r w:rsidR="0059389E" w:rsidRPr="0059389E">
      <w:rPr>
        <w:rFonts w:asciiTheme="minorHAnsi" w:hAnsiTheme="minorHAnsi" w:cstheme="minorHAnsi"/>
        <w:color w:val="003A5B" w:themeColor="text2"/>
        <w:sz w:val="14"/>
        <w:szCs w:val="14"/>
        <w:lang w:val="fr-CA"/>
      </w:rPr>
      <w:t>multisources</w:t>
    </w:r>
    <w:proofErr w:type="spellEnd"/>
    <w:r w:rsidR="0059389E" w:rsidRPr="0059389E">
      <w:rPr>
        <w:rFonts w:asciiTheme="minorHAnsi" w:hAnsiTheme="minorHAnsi" w:cstheme="minorHAnsi"/>
        <w:color w:val="003A5B" w:themeColor="text2"/>
        <w:sz w:val="14"/>
        <w:szCs w:val="14"/>
        <w:lang w:val="fr-CA"/>
      </w:rPr>
      <w:t xml:space="preserve"> </w:t>
    </w:r>
    <w:bookmarkStart w:id="0" w:name="_GoBack"/>
    <w:bookmarkEnd w:id="0"/>
  </w:p>
  <w:p w:rsidR="002802DD" w:rsidRPr="00066F69" w:rsidRDefault="002802DD" w:rsidP="00CF104E">
    <w:pPr>
      <w:pStyle w:val="BasicParagraph"/>
      <w:jc w:val="center"/>
      <w:rPr>
        <w:color w:val="7F7F7F"/>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 w:id="1">
    <w:p w:rsidR="000635D5" w:rsidRPr="000635D5" w:rsidRDefault="000635D5" w:rsidP="000635D5">
      <w:pPr>
        <w:pStyle w:val="FootnoteText"/>
        <w:rPr>
          <w:lang w:val="fr-CA"/>
        </w:rPr>
      </w:pPr>
      <w:r>
        <w:rPr>
          <w:rStyle w:val="FootnoteReference"/>
        </w:rPr>
        <w:footnoteRef/>
      </w:r>
      <w:r w:rsidRPr="000635D5">
        <w:rPr>
          <w:lang w:val="fr-CA"/>
        </w:rPr>
        <w:t xml:space="preserve"> Dans le cas d’un programme ayant intégré La compétence par conception, prière d’adapter les niveaux de performance ci-dessus aux quatre étapes du continuum de compétence des résidents.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89E" w:rsidRDefault="00593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89E" w:rsidRDefault="00593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B47554E"/>
    <w:multiLevelType w:val="hybridMultilevel"/>
    <w:tmpl w:val="9C2265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895592"/>
    <w:multiLevelType w:val="hybridMultilevel"/>
    <w:tmpl w:val="EBA4AAC2"/>
    <w:lvl w:ilvl="0" w:tplc="227A2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A41523"/>
    <w:multiLevelType w:val="hybridMultilevel"/>
    <w:tmpl w:val="C12C4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33B64FA"/>
    <w:multiLevelType w:val="hybridMultilevel"/>
    <w:tmpl w:val="30E4168A"/>
    <w:lvl w:ilvl="0" w:tplc="22A46E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62613"/>
    <w:multiLevelType w:val="hybridMultilevel"/>
    <w:tmpl w:val="A08493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07FD0"/>
    <w:multiLevelType w:val="hybridMultilevel"/>
    <w:tmpl w:val="7AB029E2"/>
    <w:lvl w:ilvl="0" w:tplc="22A46E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94114"/>
    <w:multiLevelType w:val="hybridMultilevel"/>
    <w:tmpl w:val="E06E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D662E"/>
    <w:multiLevelType w:val="hybridMultilevel"/>
    <w:tmpl w:val="941EAE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9"/>
  </w:num>
  <w:num w:numId="15">
    <w:abstractNumId w:val="16"/>
  </w:num>
  <w:num w:numId="16">
    <w:abstractNumId w:val="18"/>
  </w:num>
  <w:num w:numId="17">
    <w:abstractNumId w:val="17"/>
  </w:num>
  <w:num w:numId="18">
    <w:abstractNumId w:val="14"/>
  </w:num>
  <w:num w:numId="19">
    <w:abstractNumId w:val="11"/>
  </w:num>
  <w:num w:numId="20">
    <w:abstractNumId w:val="12"/>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635D5"/>
    <w:rsid w:val="00066F69"/>
    <w:rsid w:val="00073A17"/>
    <w:rsid w:val="000753B2"/>
    <w:rsid w:val="00095B03"/>
    <w:rsid w:val="000A47F0"/>
    <w:rsid w:val="000F481B"/>
    <w:rsid w:val="0010681F"/>
    <w:rsid w:val="0017084C"/>
    <w:rsid w:val="001D484A"/>
    <w:rsid w:val="00213440"/>
    <w:rsid w:val="002139BE"/>
    <w:rsid w:val="00252219"/>
    <w:rsid w:val="00255259"/>
    <w:rsid w:val="002666E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66028"/>
    <w:rsid w:val="0047098E"/>
    <w:rsid w:val="00481226"/>
    <w:rsid w:val="004A3C37"/>
    <w:rsid w:val="004D6118"/>
    <w:rsid w:val="00500F6F"/>
    <w:rsid w:val="00523D2D"/>
    <w:rsid w:val="0053087F"/>
    <w:rsid w:val="005406B1"/>
    <w:rsid w:val="005713B3"/>
    <w:rsid w:val="0059389E"/>
    <w:rsid w:val="00596D14"/>
    <w:rsid w:val="005A57F7"/>
    <w:rsid w:val="005C2F09"/>
    <w:rsid w:val="005D11C0"/>
    <w:rsid w:val="005D33BD"/>
    <w:rsid w:val="00613FB2"/>
    <w:rsid w:val="00654037"/>
    <w:rsid w:val="00663960"/>
    <w:rsid w:val="00670E6C"/>
    <w:rsid w:val="006A4987"/>
    <w:rsid w:val="006D5F37"/>
    <w:rsid w:val="00721E45"/>
    <w:rsid w:val="00734F3B"/>
    <w:rsid w:val="007511BC"/>
    <w:rsid w:val="00763A4E"/>
    <w:rsid w:val="007665CD"/>
    <w:rsid w:val="0077197F"/>
    <w:rsid w:val="00776A28"/>
    <w:rsid w:val="007A7C19"/>
    <w:rsid w:val="007C2EE8"/>
    <w:rsid w:val="007D0550"/>
    <w:rsid w:val="007D2AC5"/>
    <w:rsid w:val="007F0897"/>
    <w:rsid w:val="007F219E"/>
    <w:rsid w:val="007F4549"/>
    <w:rsid w:val="00813420"/>
    <w:rsid w:val="008225BE"/>
    <w:rsid w:val="00833150"/>
    <w:rsid w:val="008443EB"/>
    <w:rsid w:val="00876B9E"/>
    <w:rsid w:val="008C2410"/>
    <w:rsid w:val="008D1DAB"/>
    <w:rsid w:val="008E3B4B"/>
    <w:rsid w:val="008E7B03"/>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3156"/>
    <w:rsid w:val="00CB5633"/>
    <w:rsid w:val="00CB73C0"/>
    <w:rsid w:val="00CD3070"/>
    <w:rsid w:val="00CD608A"/>
    <w:rsid w:val="00CE3091"/>
    <w:rsid w:val="00CE512C"/>
    <w:rsid w:val="00CF104E"/>
    <w:rsid w:val="00D42844"/>
    <w:rsid w:val="00D459B8"/>
    <w:rsid w:val="00E21C55"/>
    <w:rsid w:val="00E27AEF"/>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68698A"/>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E27AEF"/>
    <w:rPr>
      <w:smallCaps/>
      <w:color w:val="5A5A5A" w:themeColor="text1" w:themeTint="A5"/>
    </w:rPr>
  </w:style>
  <w:style w:type="paragraph" w:styleId="FootnoteText">
    <w:name w:val="footnote text"/>
    <w:basedOn w:val="Normal"/>
    <w:link w:val="FootnoteTextChar"/>
    <w:uiPriority w:val="99"/>
    <w:semiHidden/>
    <w:unhideWhenUsed/>
    <w:rsid w:val="000635D5"/>
    <w:pPr>
      <w:snapToGrid/>
      <w:spacing w:after="0"/>
    </w:pPr>
    <w:rPr>
      <w:rFonts w:ascii="Verdana" w:eastAsia="MS ??" w:hAnsi="Verdana"/>
      <w:noProof/>
      <w:color w:val="auto"/>
      <w:sz w:val="20"/>
      <w:szCs w:val="20"/>
      <w:lang w:val="en-US"/>
    </w:rPr>
  </w:style>
  <w:style w:type="character" w:customStyle="1" w:styleId="FootnoteTextChar">
    <w:name w:val="Footnote Text Char"/>
    <w:basedOn w:val="DefaultParagraphFont"/>
    <w:link w:val="FootnoteText"/>
    <w:uiPriority w:val="99"/>
    <w:semiHidden/>
    <w:rsid w:val="000635D5"/>
    <w:rPr>
      <w:rFonts w:ascii="Verdana" w:eastAsia="MS ??" w:hAnsi="Verdana"/>
      <w:noProof/>
      <w:lang w:val="en-US"/>
    </w:rPr>
  </w:style>
  <w:style w:type="character" w:styleId="FootnoteReference">
    <w:name w:val="footnote reference"/>
    <w:basedOn w:val="DefaultParagraphFont"/>
    <w:uiPriority w:val="99"/>
    <w:semiHidden/>
    <w:unhideWhenUsed/>
    <w:rsid w:val="000635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0658">
      <w:bodyDiv w:val="1"/>
      <w:marLeft w:val="0"/>
      <w:marRight w:val="0"/>
      <w:marTop w:val="0"/>
      <w:marBottom w:val="0"/>
      <w:divBdr>
        <w:top w:val="none" w:sz="0" w:space="0" w:color="auto"/>
        <w:left w:val="none" w:sz="0" w:space="0" w:color="auto"/>
        <w:bottom w:val="none" w:sz="0" w:space="0" w:color="auto"/>
        <w:right w:val="none" w:sz="0" w:space="0" w:color="auto"/>
      </w:divBdr>
    </w:div>
    <w:div w:id="73476759">
      <w:bodyDiv w:val="1"/>
      <w:marLeft w:val="0"/>
      <w:marRight w:val="0"/>
      <w:marTop w:val="0"/>
      <w:marBottom w:val="0"/>
      <w:divBdr>
        <w:top w:val="none" w:sz="0" w:space="0" w:color="auto"/>
        <w:left w:val="none" w:sz="0" w:space="0" w:color="auto"/>
        <w:bottom w:val="none" w:sz="0" w:space="0" w:color="auto"/>
        <w:right w:val="none" w:sz="0" w:space="0" w:color="auto"/>
      </w:divBdr>
    </w:div>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82789207">
      <w:bodyDiv w:val="1"/>
      <w:marLeft w:val="0"/>
      <w:marRight w:val="0"/>
      <w:marTop w:val="0"/>
      <w:marBottom w:val="0"/>
      <w:divBdr>
        <w:top w:val="none" w:sz="0" w:space="0" w:color="auto"/>
        <w:left w:val="none" w:sz="0" w:space="0" w:color="auto"/>
        <w:bottom w:val="none" w:sz="0" w:space="0" w:color="auto"/>
        <w:right w:val="none" w:sz="0" w:space="0" w:color="auto"/>
      </w:divBdr>
    </w:div>
    <w:div w:id="208878612">
      <w:bodyDiv w:val="1"/>
      <w:marLeft w:val="0"/>
      <w:marRight w:val="0"/>
      <w:marTop w:val="0"/>
      <w:marBottom w:val="0"/>
      <w:divBdr>
        <w:top w:val="none" w:sz="0" w:space="0" w:color="auto"/>
        <w:left w:val="none" w:sz="0" w:space="0" w:color="auto"/>
        <w:bottom w:val="none" w:sz="0" w:space="0" w:color="auto"/>
        <w:right w:val="none" w:sz="0" w:space="0" w:color="auto"/>
      </w:divBdr>
    </w:div>
    <w:div w:id="476143922">
      <w:bodyDiv w:val="1"/>
      <w:marLeft w:val="0"/>
      <w:marRight w:val="0"/>
      <w:marTop w:val="0"/>
      <w:marBottom w:val="0"/>
      <w:divBdr>
        <w:top w:val="none" w:sz="0" w:space="0" w:color="auto"/>
        <w:left w:val="none" w:sz="0" w:space="0" w:color="auto"/>
        <w:bottom w:val="none" w:sz="0" w:space="0" w:color="auto"/>
        <w:right w:val="none" w:sz="0" w:space="0" w:color="auto"/>
      </w:divBdr>
    </w:div>
    <w:div w:id="491260906">
      <w:bodyDiv w:val="1"/>
      <w:marLeft w:val="0"/>
      <w:marRight w:val="0"/>
      <w:marTop w:val="0"/>
      <w:marBottom w:val="0"/>
      <w:divBdr>
        <w:top w:val="none" w:sz="0" w:space="0" w:color="auto"/>
        <w:left w:val="none" w:sz="0" w:space="0" w:color="auto"/>
        <w:bottom w:val="none" w:sz="0" w:space="0" w:color="auto"/>
        <w:right w:val="none" w:sz="0" w:space="0" w:color="auto"/>
      </w:divBdr>
    </w:div>
    <w:div w:id="507137581">
      <w:bodyDiv w:val="1"/>
      <w:marLeft w:val="0"/>
      <w:marRight w:val="0"/>
      <w:marTop w:val="0"/>
      <w:marBottom w:val="0"/>
      <w:divBdr>
        <w:top w:val="none" w:sz="0" w:space="0" w:color="auto"/>
        <w:left w:val="none" w:sz="0" w:space="0" w:color="auto"/>
        <w:bottom w:val="none" w:sz="0" w:space="0" w:color="auto"/>
        <w:right w:val="none" w:sz="0" w:space="0" w:color="auto"/>
      </w:divBdr>
    </w:div>
    <w:div w:id="670648439">
      <w:bodyDiv w:val="1"/>
      <w:marLeft w:val="0"/>
      <w:marRight w:val="0"/>
      <w:marTop w:val="0"/>
      <w:marBottom w:val="0"/>
      <w:divBdr>
        <w:top w:val="none" w:sz="0" w:space="0" w:color="auto"/>
        <w:left w:val="none" w:sz="0" w:space="0" w:color="auto"/>
        <w:bottom w:val="none" w:sz="0" w:space="0" w:color="auto"/>
        <w:right w:val="none" w:sz="0" w:space="0" w:color="auto"/>
      </w:divBdr>
    </w:div>
    <w:div w:id="824858941">
      <w:bodyDiv w:val="1"/>
      <w:marLeft w:val="0"/>
      <w:marRight w:val="0"/>
      <w:marTop w:val="0"/>
      <w:marBottom w:val="0"/>
      <w:divBdr>
        <w:top w:val="none" w:sz="0" w:space="0" w:color="auto"/>
        <w:left w:val="none" w:sz="0" w:space="0" w:color="auto"/>
        <w:bottom w:val="none" w:sz="0" w:space="0" w:color="auto"/>
        <w:right w:val="none" w:sz="0" w:space="0" w:color="auto"/>
      </w:divBdr>
    </w:div>
    <w:div w:id="883365493">
      <w:bodyDiv w:val="1"/>
      <w:marLeft w:val="0"/>
      <w:marRight w:val="0"/>
      <w:marTop w:val="0"/>
      <w:marBottom w:val="0"/>
      <w:divBdr>
        <w:top w:val="none" w:sz="0" w:space="0" w:color="auto"/>
        <w:left w:val="none" w:sz="0" w:space="0" w:color="auto"/>
        <w:bottom w:val="none" w:sz="0" w:space="0" w:color="auto"/>
        <w:right w:val="none" w:sz="0" w:space="0" w:color="auto"/>
      </w:divBdr>
    </w:div>
    <w:div w:id="1050809215">
      <w:bodyDiv w:val="1"/>
      <w:marLeft w:val="0"/>
      <w:marRight w:val="0"/>
      <w:marTop w:val="0"/>
      <w:marBottom w:val="0"/>
      <w:divBdr>
        <w:top w:val="none" w:sz="0" w:space="0" w:color="auto"/>
        <w:left w:val="none" w:sz="0" w:space="0" w:color="auto"/>
        <w:bottom w:val="none" w:sz="0" w:space="0" w:color="auto"/>
        <w:right w:val="none" w:sz="0" w:space="0" w:color="auto"/>
      </w:divBdr>
    </w:div>
    <w:div w:id="1053698932">
      <w:bodyDiv w:val="1"/>
      <w:marLeft w:val="0"/>
      <w:marRight w:val="0"/>
      <w:marTop w:val="0"/>
      <w:marBottom w:val="0"/>
      <w:divBdr>
        <w:top w:val="none" w:sz="0" w:space="0" w:color="auto"/>
        <w:left w:val="none" w:sz="0" w:space="0" w:color="auto"/>
        <w:bottom w:val="none" w:sz="0" w:space="0" w:color="auto"/>
        <w:right w:val="none" w:sz="0" w:space="0" w:color="auto"/>
      </w:divBdr>
    </w:div>
    <w:div w:id="1180120860">
      <w:bodyDiv w:val="1"/>
      <w:marLeft w:val="0"/>
      <w:marRight w:val="0"/>
      <w:marTop w:val="0"/>
      <w:marBottom w:val="0"/>
      <w:divBdr>
        <w:top w:val="none" w:sz="0" w:space="0" w:color="auto"/>
        <w:left w:val="none" w:sz="0" w:space="0" w:color="auto"/>
        <w:bottom w:val="none" w:sz="0" w:space="0" w:color="auto"/>
        <w:right w:val="none" w:sz="0" w:space="0" w:color="auto"/>
      </w:divBdr>
    </w:div>
    <w:div w:id="1387534923">
      <w:bodyDiv w:val="1"/>
      <w:marLeft w:val="0"/>
      <w:marRight w:val="0"/>
      <w:marTop w:val="0"/>
      <w:marBottom w:val="0"/>
      <w:divBdr>
        <w:top w:val="none" w:sz="0" w:space="0" w:color="auto"/>
        <w:left w:val="none" w:sz="0" w:space="0" w:color="auto"/>
        <w:bottom w:val="none" w:sz="0" w:space="0" w:color="auto"/>
        <w:right w:val="none" w:sz="0" w:space="0" w:color="auto"/>
      </w:divBdr>
    </w:div>
    <w:div w:id="1508595278">
      <w:bodyDiv w:val="1"/>
      <w:marLeft w:val="0"/>
      <w:marRight w:val="0"/>
      <w:marTop w:val="0"/>
      <w:marBottom w:val="0"/>
      <w:divBdr>
        <w:top w:val="none" w:sz="0" w:space="0" w:color="auto"/>
        <w:left w:val="none" w:sz="0" w:space="0" w:color="auto"/>
        <w:bottom w:val="none" w:sz="0" w:space="0" w:color="auto"/>
        <w:right w:val="none" w:sz="0" w:space="0" w:color="auto"/>
      </w:divBdr>
    </w:div>
    <w:div w:id="1680355193">
      <w:bodyDiv w:val="1"/>
      <w:marLeft w:val="0"/>
      <w:marRight w:val="0"/>
      <w:marTop w:val="0"/>
      <w:marBottom w:val="0"/>
      <w:divBdr>
        <w:top w:val="none" w:sz="0" w:space="0" w:color="auto"/>
        <w:left w:val="none" w:sz="0" w:space="0" w:color="auto"/>
        <w:bottom w:val="none" w:sz="0" w:space="0" w:color="auto"/>
        <w:right w:val="none" w:sz="0" w:space="0" w:color="auto"/>
      </w:divBdr>
    </w:div>
    <w:div w:id="1683162591">
      <w:bodyDiv w:val="1"/>
      <w:marLeft w:val="0"/>
      <w:marRight w:val="0"/>
      <w:marTop w:val="0"/>
      <w:marBottom w:val="0"/>
      <w:divBdr>
        <w:top w:val="none" w:sz="0" w:space="0" w:color="auto"/>
        <w:left w:val="none" w:sz="0" w:space="0" w:color="auto"/>
        <w:bottom w:val="none" w:sz="0" w:space="0" w:color="auto"/>
        <w:right w:val="none" w:sz="0" w:space="0" w:color="auto"/>
      </w:divBdr>
    </w:div>
    <w:div w:id="168343512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837264040">
      <w:bodyDiv w:val="1"/>
      <w:marLeft w:val="0"/>
      <w:marRight w:val="0"/>
      <w:marTop w:val="0"/>
      <w:marBottom w:val="0"/>
      <w:divBdr>
        <w:top w:val="none" w:sz="0" w:space="0" w:color="auto"/>
        <w:left w:val="none" w:sz="0" w:space="0" w:color="auto"/>
        <w:bottom w:val="none" w:sz="0" w:space="0" w:color="auto"/>
        <w:right w:val="none" w:sz="0" w:space="0" w:color="auto"/>
      </w:divBdr>
    </w:div>
    <w:div w:id="1935700041">
      <w:bodyDiv w:val="1"/>
      <w:marLeft w:val="0"/>
      <w:marRight w:val="0"/>
      <w:marTop w:val="0"/>
      <w:marBottom w:val="0"/>
      <w:divBdr>
        <w:top w:val="none" w:sz="0" w:space="0" w:color="auto"/>
        <w:left w:val="none" w:sz="0" w:space="0" w:color="auto"/>
        <w:bottom w:val="none" w:sz="0" w:space="0" w:color="auto"/>
        <w:right w:val="none" w:sz="0" w:space="0" w:color="auto"/>
      </w:divBdr>
    </w:div>
    <w:div w:id="204925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4CC8-8561-4E98-AE97-134146438644}">
  <ds:schemaRefs>
    <ds:schemaRef ds:uri="http://schemas.openxmlformats.org/package/2006/metadata/core-properties"/>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f3c17827-2a44-4186-817e-0d9f5805cdb5"/>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4.xml><?xml version="1.0" encoding="utf-8"?>
<ds:datastoreItem xmlns:ds="http://schemas.openxmlformats.org/officeDocument/2006/customXml" ds:itemID="{60AEA0ED-8B6A-4446-8733-E5150C8E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33</TotalTime>
  <Pages>5</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Delmore, Jaclyn</cp:lastModifiedBy>
  <cp:revision>7</cp:revision>
  <cp:lastPrinted>2018-08-24T17:51:00Z</cp:lastPrinted>
  <dcterms:created xsi:type="dcterms:W3CDTF">2021-10-22T18:24:00Z</dcterms:created>
  <dcterms:modified xsi:type="dcterms:W3CDTF">2021-11-01T19:46:00Z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